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EFF97" w14:textId="0A44CBC1" w:rsidR="00E37B04" w:rsidRPr="00C86E49" w:rsidRDefault="00E37B04" w:rsidP="00E37B04">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sidRPr="00C86E49">
        <w:rPr>
          <w:rFonts w:ascii="Arial" w:hAnsi="Arial" w:cs="Arial"/>
          <w:b/>
          <w:bCs/>
          <w:color w:val="000080"/>
          <w:sz w:val="36"/>
          <w:szCs w:val="36"/>
        </w:rPr>
        <w:t>Medical Services Advisory Committee (MSAC)</w:t>
      </w:r>
      <w:r w:rsidRPr="00C86E49">
        <w:rPr>
          <w:rFonts w:ascii="Arial" w:hAnsi="Arial" w:cs="Arial"/>
          <w:b/>
          <w:bCs/>
          <w:color w:val="000080"/>
          <w:sz w:val="36"/>
          <w:szCs w:val="36"/>
        </w:rPr>
        <w:br/>
        <w:t>Public Summary Document</w:t>
      </w:r>
    </w:p>
    <w:p w14:paraId="7A128FDE" w14:textId="71B93650" w:rsidR="00772829" w:rsidRPr="00CE28E3" w:rsidRDefault="00772829" w:rsidP="00772829">
      <w:pPr>
        <w:pStyle w:val="Subtitle"/>
      </w:pPr>
      <w:r w:rsidRPr="00CE28E3">
        <w:t xml:space="preserve">Application No. </w:t>
      </w:r>
      <w:r w:rsidR="000F5436" w:rsidRPr="000F5436">
        <w:t>1507.1</w:t>
      </w:r>
      <w:r w:rsidRPr="000F5436">
        <w:t xml:space="preserve"> – </w:t>
      </w:r>
      <w:r w:rsidR="000F5436" w:rsidRPr="000F5436">
        <w:t>Germline BRCA mutation testing in patients with locally advanced or metastatic HER2-negative breast cancer to determine eligibility for PBS-listed olaparib treatmen</w:t>
      </w:r>
      <w:r w:rsidR="000F5436">
        <w:t>t</w:t>
      </w:r>
    </w:p>
    <w:p w14:paraId="35263561" w14:textId="34725889"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0F5436" w:rsidRPr="000F5436">
        <w:rPr>
          <w:rFonts w:ascii="Arial" w:hAnsi="Arial" w:cs="Arial"/>
          <w:b/>
          <w:szCs w:val="24"/>
        </w:rPr>
        <w:t>A</w:t>
      </w:r>
      <w:r w:rsidR="00B34B10">
        <w:rPr>
          <w:rFonts w:ascii="Arial" w:hAnsi="Arial" w:cs="Arial"/>
          <w:b/>
          <w:szCs w:val="24"/>
        </w:rPr>
        <w:t>stra</w:t>
      </w:r>
      <w:r w:rsidR="000307E9">
        <w:rPr>
          <w:rFonts w:ascii="Arial" w:hAnsi="Arial" w:cs="Arial"/>
          <w:b/>
          <w:szCs w:val="24"/>
        </w:rPr>
        <w:t>Zeneca</w:t>
      </w:r>
      <w:r w:rsidR="000F5436" w:rsidRPr="000F5436">
        <w:rPr>
          <w:rFonts w:ascii="Arial" w:hAnsi="Arial" w:cs="Arial"/>
          <w:b/>
          <w:szCs w:val="24"/>
        </w:rPr>
        <w:t xml:space="preserve"> P</w:t>
      </w:r>
      <w:r w:rsidR="000307E9">
        <w:rPr>
          <w:rFonts w:ascii="Arial" w:hAnsi="Arial" w:cs="Arial"/>
          <w:b/>
          <w:szCs w:val="24"/>
        </w:rPr>
        <w:t>ty</w:t>
      </w:r>
      <w:r w:rsidR="000F5436" w:rsidRPr="000F5436">
        <w:rPr>
          <w:rFonts w:ascii="Arial" w:hAnsi="Arial" w:cs="Arial"/>
          <w:b/>
          <w:szCs w:val="24"/>
        </w:rPr>
        <w:t xml:space="preserve"> L</w:t>
      </w:r>
      <w:r w:rsidR="000307E9">
        <w:rPr>
          <w:rFonts w:ascii="Arial" w:hAnsi="Arial" w:cs="Arial"/>
          <w:b/>
          <w:szCs w:val="24"/>
        </w:rPr>
        <w:t>td</w:t>
      </w:r>
    </w:p>
    <w:p w14:paraId="15DA9C4A" w14:textId="59FF8F0A" w:rsidR="009A3778" w:rsidRDefault="00772829" w:rsidP="00772829">
      <w:pPr>
        <w:tabs>
          <w:tab w:val="left" w:pos="3686"/>
        </w:tabs>
        <w:spacing w:after="360"/>
        <w:rPr>
          <w:rFonts w:ascii="Arial" w:hAnsi="Arial" w:cs="Arial"/>
          <w:b/>
          <w:szCs w:val="24"/>
        </w:rPr>
      </w:pPr>
      <w:r w:rsidRPr="00CE28E3">
        <w:rPr>
          <w:rFonts w:ascii="Arial" w:hAnsi="Arial" w:cs="Arial"/>
          <w:b/>
          <w:szCs w:val="24"/>
        </w:rPr>
        <w:t>Date of MSAC consideration:</w:t>
      </w:r>
      <w:r w:rsidRPr="00CE28E3">
        <w:rPr>
          <w:rFonts w:ascii="Arial" w:hAnsi="Arial" w:cs="Arial"/>
          <w:b/>
          <w:szCs w:val="24"/>
        </w:rPr>
        <w:tab/>
      </w:r>
      <w:r w:rsidR="0007570E" w:rsidRPr="0007570E">
        <w:rPr>
          <w:rFonts w:ascii="Arial" w:hAnsi="Arial" w:cs="Arial"/>
          <w:b/>
          <w:szCs w:val="24"/>
        </w:rPr>
        <w:t>1–2 August 2024</w:t>
      </w:r>
      <w:r w:rsidR="0007570E">
        <w:rPr>
          <w:rFonts w:ascii="Arial" w:hAnsi="Arial" w:cs="Arial"/>
          <w:b/>
          <w:szCs w:val="24"/>
        </w:rPr>
        <w:t xml:space="preserve"> </w:t>
      </w:r>
    </w:p>
    <w:p w14:paraId="7C1B17F1" w14:textId="4D3C04CF" w:rsidR="00E37B04" w:rsidRPr="00C86E49" w:rsidRDefault="00E37B04" w:rsidP="00144224">
      <w:pPr>
        <w:rPr>
          <w:color w:val="0000FF"/>
          <w:u w:val="single"/>
        </w:rPr>
      </w:pPr>
      <w:r w:rsidRPr="00C86E49">
        <w:t xml:space="preserve">Context for decision: MSAC makes its advice in accordance with its Terms of Reference, </w:t>
      </w:r>
      <w:hyperlink r:id="rId8" w:tooltip="Link to Medical Services Advisory Committee website" w:history="1">
        <w:r w:rsidRPr="00C86E49">
          <w:rPr>
            <w:rStyle w:val="Hyperlink"/>
            <w:szCs w:val="24"/>
          </w:rPr>
          <w:t>visit the MSAC website</w:t>
        </w:r>
      </w:hyperlink>
      <w:r w:rsidR="006C06A1">
        <w:rPr>
          <w:rStyle w:val="Hyperlink"/>
          <w:szCs w:val="24"/>
        </w:rPr>
        <w:t>.</w:t>
      </w:r>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2B03B099" w14:textId="39C823BE" w:rsidR="00772829" w:rsidRPr="009A3778" w:rsidRDefault="00772829" w:rsidP="00144224">
      <w:bookmarkStart w:id="1" w:name="_Hlk69734469"/>
      <w:r w:rsidRPr="009A3778">
        <w:t xml:space="preserve">The </w:t>
      </w:r>
      <w:r w:rsidR="001B4D93">
        <w:t xml:space="preserve">streamlined </w:t>
      </w:r>
      <w:r w:rsidRPr="009A3778">
        <w:t>codependent application requested:</w:t>
      </w:r>
    </w:p>
    <w:p w14:paraId="479AA703" w14:textId="64895B92" w:rsidR="00772829" w:rsidRPr="009A3778" w:rsidRDefault="00772829" w:rsidP="007543F6">
      <w:pPr>
        <w:pStyle w:val="Bullet"/>
        <w:contextualSpacing w:val="0"/>
        <w:rPr>
          <w:szCs w:val="24"/>
        </w:rPr>
      </w:pPr>
      <w:r w:rsidRPr="009A3778">
        <w:rPr>
          <w:szCs w:val="24"/>
        </w:rPr>
        <w:t xml:space="preserve">Medicare Benefits Schedule (MBS) listing of </w:t>
      </w:r>
      <w:r w:rsidR="001B4D93">
        <w:t>g</w:t>
      </w:r>
      <w:r w:rsidR="00ED7DA4" w:rsidRPr="00ED7DA4">
        <w:t xml:space="preserve">ermline </w:t>
      </w:r>
      <w:r w:rsidR="001B4D93" w:rsidRPr="00503CC2">
        <w:rPr>
          <w:i/>
        </w:rPr>
        <w:t xml:space="preserve">BReast CAncer </w:t>
      </w:r>
      <w:r w:rsidR="0059707C" w:rsidRPr="00ED7DA4">
        <w:t>(g</w:t>
      </w:r>
      <w:r w:rsidR="0059707C" w:rsidRPr="001B4D93">
        <w:rPr>
          <w:i/>
        </w:rPr>
        <w:t>BRCA</w:t>
      </w:r>
      <w:r w:rsidR="0059707C" w:rsidRPr="00ED7DA4">
        <w:t>)</w:t>
      </w:r>
      <w:r w:rsidR="0059707C">
        <w:t xml:space="preserve"> </w:t>
      </w:r>
      <w:r w:rsidR="001B4D93" w:rsidRPr="00ED7DA4">
        <w:t xml:space="preserve">gene 1 and 2 </w:t>
      </w:r>
      <w:r w:rsidR="001559E2">
        <w:t>variant</w:t>
      </w:r>
      <w:r w:rsidR="001559E2" w:rsidRPr="00ED7DA4">
        <w:t xml:space="preserve"> </w:t>
      </w:r>
      <w:r w:rsidR="00ED7DA4" w:rsidRPr="00ED7DA4">
        <w:t xml:space="preserve">testing in patients with </w:t>
      </w:r>
      <w:r w:rsidR="00B2171B" w:rsidRPr="00B2171B">
        <w:t xml:space="preserve">human epidermal growth factor </w:t>
      </w:r>
      <w:r w:rsidR="004505EF">
        <w:t>2</w:t>
      </w:r>
      <w:r w:rsidR="00F9672B">
        <w:t xml:space="preserve"> (</w:t>
      </w:r>
      <w:r w:rsidR="00ED7DA4" w:rsidRPr="00ED7DA4">
        <w:t>HER2</w:t>
      </w:r>
      <w:r w:rsidR="004E28E8">
        <w:t>)</w:t>
      </w:r>
      <w:r w:rsidR="00ED7DA4" w:rsidRPr="00ED7DA4">
        <w:t xml:space="preserve">-negative </w:t>
      </w:r>
      <w:r w:rsidR="00DC4F73">
        <w:t>metastat</w:t>
      </w:r>
      <w:r w:rsidR="00FA3EAE">
        <w:t xml:space="preserve">ic </w:t>
      </w:r>
      <w:r w:rsidR="00ED7DA4" w:rsidRPr="00ED7DA4">
        <w:t xml:space="preserve">breast cancer </w:t>
      </w:r>
      <w:r w:rsidR="00FA3EAE">
        <w:t xml:space="preserve">(mBC) </w:t>
      </w:r>
      <w:r w:rsidR="00165628">
        <w:t xml:space="preserve">who have received prior (neo)adjuvant chemotherapy </w:t>
      </w:r>
      <w:r w:rsidR="00ED7DA4" w:rsidRPr="00ED7DA4">
        <w:t>to determine eligibility for PBS-listed olaparib treatment</w:t>
      </w:r>
      <w:r w:rsidR="001559E2">
        <w:t>;</w:t>
      </w:r>
      <w:r w:rsidRPr="009A3778">
        <w:rPr>
          <w:szCs w:val="24"/>
        </w:rPr>
        <w:t xml:space="preserve"> and</w:t>
      </w:r>
    </w:p>
    <w:p w14:paraId="5126D051" w14:textId="5F1FB470" w:rsidR="00802FC8" w:rsidRDefault="00772829" w:rsidP="00144224">
      <w:pPr>
        <w:pStyle w:val="Bullet"/>
        <w:spacing w:after="60"/>
      </w:pPr>
      <w:r w:rsidRPr="009A3778">
        <w:t xml:space="preserve">Pharmaceutical Benefits Scheme (PBS) </w:t>
      </w:r>
      <w:r w:rsidR="009D521F">
        <w:t xml:space="preserve">General Schedule </w:t>
      </w:r>
      <w:r w:rsidRPr="009A3778">
        <w:t xml:space="preserve">Authority Required listing of </w:t>
      </w:r>
      <w:r w:rsidR="001B4D93">
        <w:t>o</w:t>
      </w:r>
      <w:r w:rsidR="00ED7DA4">
        <w:t xml:space="preserve">laparib </w:t>
      </w:r>
      <w:r w:rsidRPr="009A3778">
        <w:t xml:space="preserve">for the </w:t>
      </w:r>
      <w:r w:rsidRPr="00503CC2">
        <w:t>treatment</w:t>
      </w:r>
      <w:r w:rsidR="00503CC2">
        <w:t xml:space="preserve"> </w:t>
      </w:r>
      <w:r w:rsidRPr="009A3778">
        <w:t xml:space="preserve">of </w:t>
      </w:r>
      <w:r w:rsidR="0087759C">
        <w:t>HER2</w:t>
      </w:r>
      <w:r w:rsidR="00476037">
        <w:t xml:space="preserve">-negative mBC in </w:t>
      </w:r>
      <w:r w:rsidR="006D4CC4">
        <w:t xml:space="preserve">patients </w:t>
      </w:r>
      <w:r w:rsidR="00DF4CAE">
        <w:t xml:space="preserve">with </w:t>
      </w:r>
      <w:r w:rsidR="00476037">
        <w:t xml:space="preserve">a confirmed </w:t>
      </w:r>
      <w:r w:rsidR="00306C37" w:rsidRPr="00503CC2">
        <w:rPr>
          <w:i/>
        </w:rPr>
        <w:t>BRCA</w:t>
      </w:r>
      <w:r w:rsidR="00302518">
        <w:rPr>
          <w:i/>
        </w:rPr>
        <w:t xml:space="preserve">1 </w:t>
      </w:r>
      <w:r w:rsidR="00302518">
        <w:rPr>
          <w:iCs/>
        </w:rPr>
        <w:t xml:space="preserve">or </w:t>
      </w:r>
      <w:r w:rsidR="00302518">
        <w:rPr>
          <w:i/>
        </w:rPr>
        <w:t xml:space="preserve">BRCA2 </w:t>
      </w:r>
      <w:r w:rsidR="002E05E5">
        <w:rPr>
          <w:iCs/>
        </w:rPr>
        <w:t>mutation</w:t>
      </w:r>
      <w:r w:rsidR="00503CC2">
        <w:t xml:space="preserve">. </w:t>
      </w:r>
    </w:p>
    <w:p w14:paraId="53FF2E69" w14:textId="77777777" w:rsidR="00801332" w:rsidRPr="00C86E49" w:rsidRDefault="00801332" w:rsidP="00801332">
      <w:pPr>
        <w:pStyle w:val="Heading2"/>
        <w:numPr>
          <w:ilvl w:val="0"/>
          <w:numId w:val="0"/>
        </w:numPr>
      </w:pPr>
      <w:r w:rsidRPr="00C86E49">
        <w:t>2.</w:t>
      </w:r>
      <w:r w:rsidRPr="00C86E49">
        <w:tab/>
        <w:t>MSAC’s advice to the Minister</w:t>
      </w:r>
    </w:p>
    <w:p w14:paraId="0E2C9973" w14:textId="7993BAF6" w:rsidR="00520B37" w:rsidRPr="00144224" w:rsidRDefault="00CD5FCD" w:rsidP="00144224">
      <w:pPr>
        <w:rPr>
          <w:rFonts w:cs="Segoe UI"/>
        </w:rPr>
      </w:pPr>
      <w:r w:rsidRPr="002535F3">
        <w:t xml:space="preserve">After considering the strength of the available evidence in relation to comparative safety, clinical effectiveness, cost-effectiveness and total cost, </w:t>
      </w:r>
      <w:r w:rsidR="00520B37" w:rsidRPr="001B4C69">
        <w:rPr>
          <w:rStyle w:val="normaltextrun"/>
          <w:rFonts w:cs="Segoe UI"/>
        </w:rPr>
        <w:t xml:space="preserve">MSAC supported the amendment of existing Medicare Benefits Schedule (MBS) item 73295 for the detection of germline </w:t>
      </w:r>
      <w:r w:rsidR="624F9D55" w:rsidRPr="04F31990">
        <w:rPr>
          <w:rStyle w:val="normaltextrun"/>
          <w:rFonts w:cs="Segoe UI"/>
          <w:i/>
          <w:iCs/>
        </w:rPr>
        <w:t>Breast</w:t>
      </w:r>
      <w:r w:rsidR="00520B37" w:rsidRPr="04F31990">
        <w:rPr>
          <w:rStyle w:val="normaltextrun"/>
          <w:rFonts w:cs="Segoe UI"/>
          <w:i/>
          <w:iCs/>
        </w:rPr>
        <w:t xml:space="preserve"> </w:t>
      </w:r>
      <w:r w:rsidR="20362895" w:rsidRPr="04F31990">
        <w:rPr>
          <w:rStyle w:val="normaltextrun"/>
          <w:rFonts w:cs="Segoe UI"/>
          <w:i/>
          <w:iCs/>
        </w:rPr>
        <w:t>Cancer</w:t>
      </w:r>
      <w:r w:rsidR="00520B37" w:rsidRPr="001B4C69">
        <w:rPr>
          <w:rStyle w:val="normaltextrun"/>
          <w:rFonts w:cs="Segoe UI"/>
          <w:i/>
          <w:iCs/>
        </w:rPr>
        <w:t xml:space="preserve"> gene 1 and 2</w:t>
      </w:r>
      <w:r w:rsidR="00520B37" w:rsidRPr="001B4C69">
        <w:rPr>
          <w:rStyle w:val="normaltextrun"/>
          <w:rFonts w:cs="Segoe UI"/>
        </w:rPr>
        <w:t xml:space="preserve"> (g</w:t>
      </w:r>
      <w:r w:rsidR="00520B37" w:rsidRPr="001B4C69">
        <w:rPr>
          <w:rStyle w:val="normaltextrun"/>
          <w:rFonts w:cs="Segoe UI"/>
          <w:i/>
          <w:iCs/>
        </w:rPr>
        <w:t>BRCA</w:t>
      </w:r>
      <w:r w:rsidR="00520B37" w:rsidRPr="001B4C69">
        <w:rPr>
          <w:rStyle w:val="normaltextrun"/>
          <w:rFonts w:cs="Segoe UI"/>
        </w:rPr>
        <w:t>) pathogenic or likely pathogenic gene variants to determine access to a relevant treatment under the Pharmaceutical Benefits Scheme (PBS), in patients with metastatic breast cancer.</w:t>
      </w:r>
      <w:r w:rsidR="00520B37" w:rsidRPr="001B4C69">
        <w:rPr>
          <w:rStyle w:val="eop"/>
          <w:rFonts w:cs="Segoe UI"/>
        </w:rPr>
        <w:t> </w:t>
      </w:r>
    </w:p>
    <w:p w14:paraId="1DA8696C" w14:textId="5E61F218" w:rsidR="00520B37" w:rsidRPr="00144224" w:rsidRDefault="00520B37" w:rsidP="11FAFD31">
      <w:pPr>
        <w:pStyle w:val="paragraph"/>
        <w:spacing w:before="0" w:beforeAutospacing="0" w:after="240" w:afterAutospacing="0"/>
        <w:textAlignment w:val="baseline"/>
        <w:rPr>
          <w:rFonts w:ascii="Franklin Gothic Book" w:hAnsi="Franklin Gothic Book" w:cs="Segoe UI"/>
          <w:sz w:val="22"/>
          <w:szCs w:val="22"/>
        </w:rPr>
      </w:pPr>
      <w:r w:rsidRPr="001B4C69">
        <w:rPr>
          <w:rStyle w:val="normaltextrun"/>
          <w:rFonts w:ascii="Franklin Gothic Book" w:hAnsi="Franklin Gothic Book" w:cs="Segoe UI"/>
          <w:sz w:val="22"/>
          <w:szCs w:val="22"/>
        </w:rPr>
        <w:t xml:space="preserve">MSAC noted the applicant’s proposed amendment was for </w:t>
      </w:r>
      <w:r w:rsidRPr="11FAFD31">
        <w:rPr>
          <w:rStyle w:val="normaltextrun"/>
          <w:rFonts w:ascii="Franklin Gothic Book" w:hAnsi="Franklin Gothic Book" w:cs="Segoe UI"/>
          <w:i/>
          <w:iCs/>
          <w:sz w:val="22"/>
          <w:szCs w:val="22"/>
        </w:rPr>
        <w:t>gBRCA</w:t>
      </w:r>
      <w:r w:rsidRPr="001B4C69">
        <w:rPr>
          <w:rStyle w:val="normaltextrun"/>
          <w:rFonts w:ascii="Franklin Gothic Book" w:hAnsi="Franklin Gothic Book" w:cs="Segoe UI"/>
          <w:sz w:val="22"/>
          <w:szCs w:val="22"/>
        </w:rPr>
        <w:t xml:space="preserve"> testing to determine access for olaparib, a poly-ADP ribose polymerase (PARP) inhibitor, under the PBS, in patients with metastatic breast cancer. MSAC recalled that it had previously considered g</w:t>
      </w:r>
      <w:r w:rsidRPr="11FAFD31">
        <w:rPr>
          <w:rStyle w:val="normaltextrun"/>
          <w:rFonts w:ascii="Franklin Gothic Book" w:hAnsi="Franklin Gothic Book" w:cs="Segoe UI"/>
          <w:i/>
          <w:iCs/>
          <w:sz w:val="22"/>
          <w:szCs w:val="22"/>
        </w:rPr>
        <w:t>BRCA</w:t>
      </w:r>
      <w:r w:rsidRPr="001B4C69">
        <w:rPr>
          <w:rStyle w:val="normaltextrun"/>
          <w:rFonts w:ascii="Franklin Gothic Book" w:hAnsi="Franklin Gothic Book" w:cs="Segoe UI"/>
          <w:sz w:val="22"/>
          <w:szCs w:val="22"/>
        </w:rPr>
        <w:t xml:space="preserve"> testing safe and effective in patients with early breast cancer and noted that the genetic testing is already well established in Australia. MSAC noted that </w:t>
      </w:r>
      <w:r w:rsidRPr="11FAFD31">
        <w:rPr>
          <w:rStyle w:val="normaltextrun"/>
          <w:rFonts w:ascii="Franklin Gothic Book" w:hAnsi="Franklin Gothic Book" w:cs="Segoe UI"/>
          <w:sz w:val="22"/>
          <w:szCs w:val="22"/>
          <w:shd w:val="clear" w:color="auto" w:fill="FFFFFF"/>
        </w:rPr>
        <w:t>Pharmaceutical Benefits Advisory Committee</w:t>
      </w:r>
      <w:r w:rsidRPr="11FAFD31">
        <w:rPr>
          <w:rStyle w:val="normaltextrun"/>
          <w:rFonts w:ascii="Arial" w:hAnsi="Arial" w:cs="Arial"/>
          <w:sz w:val="22"/>
          <w:szCs w:val="22"/>
          <w:shd w:val="clear" w:color="auto" w:fill="FFFFFF"/>
        </w:rPr>
        <w:t> </w:t>
      </w:r>
      <w:r w:rsidRPr="11FAFD31">
        <w:rPr>
          <w:rStyle w:val="normaltextrun"/>
          <w:rFonts w:ascii="Franklin Gothic Book" w:hAnsi="Franklin Gothic Book" w:cs="Segoe UI"/>
          <w:sz w:val="22"/>
          <w:szCs w:val="22"/>
          <w:shd w:val="clear" w:color="auto" w:fill="FFFFFF"/>
        </w:rPr>
        <w:t>(PBAC)</w:t>
      </w:r>
      <w:r w:rsidRPr="11FAFD31">
        <w:rPr>
          <w:rStyle w:val="normaltextrun"/>
          <w:rFonts w:ascii="Franklin Gothic Book" w:hAnsi="Franklin Gothic Book" w:cs="Segoe UI"/>
          <w:sz w:val="22"/>
          <w:szCs w:val="22"/>
        </w:rPr>
        <w:t xml:space="preserve"> recommended the listing of olaparib for the treatment of patients with human epidermal growth factor receptor 2 (HER2)-negative metastatic breast cancer and a confirmed </w:t>
      </w:r>
      <w:r w:rsidRPr="11FAFD31">
        <w:rPr>
          <w:rStyle w:val="normaltextrun"/>
          <w:rFonts w:ascii="Franklin Gothic Book" w:hAnsi="Franklin Gothic Book" w:cs="Segoe UI"/>
          <w:i/>
          <w:iCs/>
          <w:sz w:val="22"/>
          <w:szCs w:val="22"/>
        </w:rPr>
        <w:t>BRCA1/2</w:t>
      </w:r>
      <w:r w:rsidRPr="11FAFD31">
        <w:rPr>
          <w:rStyle w:val="normaltextrun"/>
          <w:rFonts w:ascii="Franklin Gothic Book" w:hAnsi="Franklin Gothic Book" w:cs="Segoe UI"/>
          <w:sz w:val="22"/>
          <w:szCs w:val="22"/>
        </w:rPr>
        <w:t xml:space="preserve"> pathogenic variant at its July 2024 meeting.</w:t>
      </w:r>
      <w:r w:rsidRPr="00BE452A">
        <w:rPr>
          <w:rStyle w:val="eop"/>
          <w:rFonts w:ascii="Franklin Gothic Book" w:hAnsi="Franklin Gothic Book" w:cs="Segoe UI"/>
          <w:sz w:val="22"/>
          <w:szCs w:val="22"/>
        </w:rPr>
        <w:t> </w:t>
      </w:r>
    </w:p>
    <w:p w14:paraId="60E11B0A" w14:textId="77777777" w:rsidR="00520B37" w:rsidRDefault="00520B37" w:rsidP="00520B37">
      <w:pPr>
        <w:pStyle w:val="paragraph"/>
        <w:spacing w:before="0" w:beforeAutospacing="0" w:after="0" w:afterAutospacing="0"/>
        <w:textAlignment w:val="baseline"/>
        <w:rPr>
          <w:rStyle w:val="eop"/>
          <w:rFonts w:ascii="Franklin Gothic Book" w:hAnsi="Franklin Gothic Book" w:cs="Segoe UI"/>
          <w:sz w:val="22"/>
          <w:szCs w:val="22"/>
        </w:rPr>
      </w:pPr>
      <w:r w:rsidRPr="001B4C69">
        <w:rPr>
          <w:rStyle w:val="normaltextrun"/>
          <w:rFonts w:ascii="Franklin Gothic Book" w:hAnsi="Franklin Gothic Book" w:cs="Segoe UI"/>
          <w:sz w:val="22"/>
          <w:szCs w:val="22"/>
        </w:rPr>
        <w:t xml:space="preserve">MSAC considered timely access to testing and treatment to be important for patients and recognised the need to future-proof item 73295 to facilitate access to new relevant treatments where applicable. Therefore, MSAC supported broadening the eligible testing population beyond the criteria proposed by the applicant to include patients with “breast cancer”, regardless of the type of breast cancer. MSAC also supported amending the MBS item for a broader purpose than </w:t>
      </w:r>
      <w:r w:rsidRPr="001B4C69">
        <w:rPr>
          <w:rStyle w:val="normaltextrun"/>
          <w:rFonts w:ascii="Franklin Gothic Book" w:hAnsi="Franklin Gothic Book" w:cs="Segoe UI"/>
          <w:sz w:val="22"/>
          <w:szCs w:val="22"/>
        </w:rPr>
        <w:lastRenderedPageBreak/>
        <w:t>proposed by the applicant, such that it supports testing for “access to a relevant treatment on the PBS”, rather than a “PARP inhibitor”.</w:t>
      </w:r>
      <w:r w:rsidRPr="001B4C69">
        <w:rPr>
          <w:rStyle w:val="eop"/>
          <w:rFonts w:ascii="Franklin Gothic Book" w:hAnsi="Franklin Gothic Book" w:cs="Segoe UI"/>
          <w:sz w:val="22"/>
          <w:szCs w:val="22"/>
        </w:rPr>
        <w:t> </w:t>
      </w:r>
    </w:p>
    <w:p w14:paraId="6751B1B5" w14:textId="44A6AAFC" w:rsidR="00A01479" w:rsidRPr="00144224" w:rsidRDefault="00594BA4" w:rsidP="00144224">
      <w:pPr>
        <w:pStyle w:val="Caption"/>
        <w:rPr>
          <w:rFonts w:ascii="Franklin Gothic Book" w:hAnsi="Franklin Gothic Book" w:cs="Segoe UI"/>
          <w:sz w:val="22"/>
          <w:szCs w:val="22"/>
        </w:rPr>
      </w:pPr>
      <w:bookmarkStart w:id="2" w:name="_Ref174716608"/>
      <w:r>
        <w:t xml:space="preserve">Table </w:t>
      </w:r>
      <w:r w:rsidR="008F6B43">
        <w:fldChar w:fldCharType="begin"/>
      </w:r>
      <w:r w:rsidR="008F6B43">
        <w:instrText xml:space="preserve"> SEQ Table \* ARABIC </w:instrText>
      </w:r>
      <w:r w:rsidR="008F6B43">
        <w:fldChar w:fldCharType="separate"/>
      </w:r>
      <w:r w:rsidR="00325DE1">
        <w:rPr>
          <w:noProof/>
        </w:rPr>
        <w:t>1</w:t>
      </w:r>
      <w:r w:rsidR="008F6B43">
        <w:rPr>
          <w:noProof/>
        </w:rPr>
        <w:fldChar w:fldCharType="end"/>
      </w:r>
      <w:bookmarkEnd w:id="2"/>
      <w:r>
        <w:t xml:space="preserve"> </w:t>
      </w:r>
      <w:r w:rsidR="004B3342">
        <w:t>A</w:t>
      </w:r>
      <w:r w:rsidR="00502D9B">
        <w:t xml:space="preserve">mended </w:t>
      </w:r>
      <w:r w:rsidR="00A55A1D">
        <w:t>MBS</w:t>
      </w:r>
      <w:r>
        <w:t xml:space="preserve"> item descriptor</w:t>
      </w:r>
      <w:r w:rsidR="00A55A1D">
        <w:t xml:space="preserve"> </w:t>
      </w:r>
      <w:r w:rsidR="00502D9B">
        <w:t>73295</w:t>
      </w:r>
      <w:r w:rsidR="004B3342">
        <w:t xml:space="preserve"> supported by MSAC</w:t>
      </w:r>
    </w:p>
    <w:tbl>
      <w:tblPr>
        <w:tblStyle w:val="TableGrid1"/>
        <w:tblW w:w="5000" w:type="pct"/>
        <w:tblLook w:val="04A0" w:firstRow="1" w:lastRow="0" w:firstColumn="1" w:lastColumn="0" w:noHBand="0" w:noVBand="1"/>
        <w:tblCaption w:val=""/>
        <w:tblDescription w:val=""/>
      </w:tblPr>
      <w:tblGrid>
        <w:gridCol w:w="9016"/>
      </w:tblGrid>
      <w:tr w:rsidR="00A01479" w:rsidRPr="00A757B8" w14:paraId="0DC25078" w14:textId="77777777" w:rsidTr="77099F32">
        <w:trPr>
          <w:cnfStyle w:val="100000000000" w:firstRow="1" w:lastRow="0" w:firstColumn="0" w:lastColumn="0" w:oddVBand="0" w:evenVBand="0" w:oddHBand="0" w:evenHBand="0" w:firstRowFirstColumn="0" w:firstRowLastColumn="0" w:lastRowFirstColumn="0" w:lastRowLastColumn="0"/>
        </w:trPr>
        <w:tc>
          <w:tcPr>
            <w:tcW w:w="5000" w:type="pct"/>
            <w:hideMark/>
          </w:tcPr>
          <w:p w14:paraId="2A371D0C" w14:textId="5A49A885" w:rsidR="00A01479" w:rsidRPr="00144224" w:rsidRDefault="00A01479">
            <w:pPr>
              <w:pStyle w:val="NormalWeb"/>
              <w:spacing w:before="120" w:beforeAutospacing="0" w:after="40" w:afterAutospacing="0"/>
              <w:ind w:left="720"/>
              <w:jc w:val="right"/>
              <w:rPr>
                <w:rFonts w:ascii="Arial Narrow" w:hAnsi="Arial Narrow"/>
                <w:sz w:val="20"/>
                <w:szCs w:val="20"/>
              </w:rPr>
            </w:pPr>
            <w:r w:rsidRPr="00144224">
              <w:rPr>
                <w:rFonts w:ascii="Arial Narrow" w:hAnsi="Arial Narrow"/>
                <w:b/>
                <w:bCs/>
                <w:sz w:val="20"/>
                <w:szCs w:val="20"/>
              </w:rPr>
              <w:t>Category 6 – Pathology Services</w:t>
            </w:r>
          </w:p>
          <w:p w14:paraId="7C741E7B" w14:textId="447D1441" w:rsidR="00A01479" w:rsidRPr="00144224" w:rsidRDefault="00A01479" w:rsidP="00144224">
            <w:pPr>
              <w:pStyle w:val="NormalWeb"/>
              <w:spacing w:before="120" w:beforeAutospacing="0" w:after="40" w:afterAutospacing="0"/>
              <w:ind w:left="720"/>
              <w:jc w:val="right"/>
              <w:rPr>
                <w:rFonts w:ascii="Arial Narrow" w:hAnsi="Arial Narrow"/>
                <w:sz w:val="20"/>
                <w:szCs w:val="20"/>
              </w:rPr>
            </w:pPr>
            <w:r w:rsidRPr="00144224">
              <w:rPr>
                <w:rFonts w:ascii="Arial Narrow" w:hAnsi="Arial Narrow"/>
                <w:b/>
                <w:bCs/>
                <w:sz w:val="20"/>
                <w:szCs w:val="20"/>
              </w:rPr>
              <w:t>Group P7 – Genetics</w:t>
            </w:r>
          </w:p>
        </w:tc>
      </w:tr>
      <w:tr w:rsidR="000314A0" w:rsidRPr="00A757B8" w14:paraId="6D664150" w14:textId="77777777" w:rsidTr="77099F32">
        <w:tc>
          <w:tcPr>
            <w:tcW w:w="5000" w:type="pct"/>
          </w:tcPr>
          <w:p w14:paraId="119E3C1C" w14:textId="77777777" w:rsidR="000314A0" w:rsidRPr="00144224" w:rsidRDefault="000314A0" w:rsidP="00144224">
            <w:pPr>
              <w:pStyle w:val="NormalWeb"/>
              <w:spacing w:before="120" w:beforeAutospacing="0" w:after="40" w:afterAutospacing="0"/>
              <w:rPr>
                <w:rFonts w:ascii="Arial Narrow" w:hAnsi="Arial Narrow"/>
                <w:sz w:val="20"/>
                <w:szCs w:val="20"/>
              </w:rPr>
            </w:pPr>
            <w:r w:rsidRPr="00144224">
              <w:rPr>
                <w:rFonts w:ascii="Arial Narrow" w:hAnsi="Arial Narrow"/>
                <w:b/>
                <w:bCs/>
                <w:sz w:val="20"/>
                <w:szCs w:val="20"/>
              </w:rPr>
              <w:t>MBS item 73295</w:t>
            </w:r>
          </w:p>
          <w:p w14:paraId="7E74AF65" w14:textId="3378660E" w:rsidR="000314A0" w:rsidRPr="00144224" w:rsidRDefault="000314A0" w:rsidP="77099F32">
            <w:pPr>
              <w:pStyle w:val="NormalWeb"/>
              <w:spacing w:before="120" w:beforeAutospacing="0" w:after="40" w:afterAutospacing="0"/>
              <w:rPr>
                <w:rFonts w:ascii="Arial Narrow" w:hAnsi="Arial Narrow"/>
                <w:sz w:val="20"/>
                <w:szCs w:val="20"/>
              </w:rPr>
            </w:pPr>
            <w:r w:rsidRPr="77099F32">
              <w:rPr>
                <w:rFonts w:ascii="Arial Narrow" w:hAnsi="Arial Narrow"/>
                <w:sz w:val="20"/>
                <w:szCs w:val="20"/>
              </w:rPr>
              <w:t xml:space="preserve">Detection of germline </w:t>
            </w:r>
            <w:r w:rsidRPr="77099F32">
              <w:rPr>
                <w:rFonts w:ascii="Arial Narrow" w:hAnsi="Arial Narrow"/>
                <w:i/>
                <w:iCs/>
                <w:sz w:val="20"/>
                <w:szCs w:val="20"/>
              </w:rPr>
              <w:t>BRCA1</w:t>
            </w:r>
            <w:r w:rsidRPr="77099F32">
              <w:rPr>
                <w:rFonts w:ascii="Arial Narrow" w:hAnsi="Arial Narrow"/>
                <w:sz w:val="20"/>
                <w:szCs w:val="20"/>
              </w:rPr>
              <w:t xml:space="preserve"> or </w:t>
            </w:r>
            <w:r w:rsidRPr="77099F32">
              <w:rPr>
                <w:rFonts w:ascii="Arial Narrow" w:hAnsi="Arial Narrow"/>
                <w:i/>
                <w:iCs/>
                <w:sz w:val="20"/>
                <w:szCs w:val="20"/>
              </w:rPr>
              <w:t>BRCA2</w:t>
            </w:r>
            <w:r w:rsidRPr="77099F32">
              <w:rPr>
                <w:rFonts w:ascii="Arial Narrow" w:hAnsi="Arial Narrow"/>
                <w:sz w:val="20"/>
                <w:szCs w:val="20"/>
              </w:rPr>
              <w:t xml:space="preserve"> pathogenic or likely pathogenic gene variants, requested by a specialist or consultant physician, to determine </w:t>
            </w:r>
            <w:r w:rsidR="17E2FEFD" w:rsidRPr="77099F32">
              <w:rPr>
                <w:rFonts w:ascii="Arial Narrow" w:hAnsi="Arial Narrow"/>
                <w:sz w:val="20"/>
                <w:szCs w:val="20"/>
              </w:rPr>
              <w:t xml:space="preserve">access to </w:t>
            </w:r>
            <w:r w:rsidRPr="77099F32">
              <w:rPr>
                <w:rFonts w:ascii="Arial Narrow" w:hAnsi="Arial Narrow"/>
                <w:sz w:val="20"/>
                <w:szCs w:val="20"/>
              </w:rPr>
              <w:t>a relevant treatment under the Pharmaceutical Benefits Scheme (PBS), in a patient with: </w:t>
            </w:r>
          </w:p>
          <w:p w14:paraId="5D79C2DB" w14:textId="6069AA4A" w:rsidR="000314A0" w:rsidRPr="002120B0" w:rsidRDefault="000314A0" w:rsidP="00144224">
            <w:pPr>
              <w:numPr>
                <w:ilvl w:val="0"/>
                <w:numId w:val="37"/>
              </w:numPr>
              <w:spacing w:before="0" w:after="0"/>
              <w:textAlignment w:val="center"/>
              <w:rPr>
                <w:rFonts w:ascii="Arial Narrow" w:hAnsi="Arial Narrow"/>
              </w:rPr>
            </w:pPr>
            <w:r w:rsidRPr="002120B0">
              <w:rPr>
                <w:rFonts w:ascii="Arial Narrow" w:hAnsi="Arial Narrow"/>
              </w:rPr>
              <w:t xml:space="preserve">advanced (FIGO III-IV) high-grade serous or high-grade epithelial ovarian, fallopian tube or primary peritoneal cancer for whom testing of tumour tissue is not feasible; </w:t>
            </w:r>
            <w:r w:rsidR="005C2058" w:rsidRPr="00E06F73">
              <w:rPr>
                <w:rFonts w:ascii="Arial Narrow" w:hAnsi="Arial Narrow"/>
              </w:rPr>
              <w:t>or</w:t>
            </w:r>
          </w:p>
          <w:p w14:paraId="23352D7E" w14:textId="02DBDB94" w:rsidR="000314A0" w:rsidRPr="002120B0" w:rsidRDefault="000314A0" w:rsidP="00144224">
            <w:pPr>
              <w:numPr>
                <w:ilvl w:val="0"/>
                <w:numId w:val="37"/>
              </w:numPr>
              <w:spacing w:before="0" w:after="120"/>
              <w:ind w:left="714" w:hanging="357"/>
              <w:textAlignment w:val="center"/>
              <w:rPr>
                <w:rFonts w:ascii="Arial Narrow" w:hAnsi="Arial Narrow"/>
              </w:rPr>
            </w:pPr>
            <w:r w:rsidRPr="002120B0">
              <w:rPr>
                <w:rFonts w:ascii="Arial Narrow" w:hAnsi="Arial Narrow"/>
              </w:rPr>
              <w:t>breast cancer</w:t>
            </w:r>
            <w:r w:rsidR="00926791" w:rsidRPr="00E06F73">
              <w:rPr>
                <w:rFonts w:ascii="Arial Narrow" w:hAnsi="Arial Narrow"/>
              </w:rPr>
              <w:t>.</w:t>
            </w:r>
          </w:p>
          <w:p w14:paraId="4A1EFDC2" w14:textId="77777777" w:rsidR="000314A0" w:rsidRPr="00144224" w:rsidRDefault="000314A0" w:rsidP="00144224">
            <w:pPr>
              <w:pStyle w:val="NormalWeb"/>
              <w:tabs>
                <w:tab w:val="num" w:pos="1080"/>
              </w:tabs>
              <w:spacing w:before="120" w:beforeAutospacing="0" w:after="120" w:afterAutospacing="0"/>
              <w:rPr>
                <w:rFonts w:ascii="Arial Narrow" w:hAnsi="Arial Narrow"/>
                <w:sz w:val="20"/>
                <w:szCs w:val="20"/>
              </w:rPr>
            </w:pPr>
            <w:r w:rsidRPr="00144224">
              <w:rPr>
                <w:rFonts w:ascii="Arial Narrow" w:hAnsi="Arial Narrow"/>
                <w:sz w:val="20"/>
                <w:szCs w:val="20"/>
              </w:rPr>
              <w:t>Applicable once per lifetime. </w:t>
            </w:r>
          </w:p>
          <w:p w14:paraId="0AB27C7F" w14:textId="54A9FD33" w:rsidR="000314A0" w:rsidRPr="00144224" w:rsidRDefault="000314A0" w:rsidP="00144224">
            <w:pPr>
              <w:pStyle w:val="NormalWeb"/>
              <w:tabs>
                <w:tab w:val="num" w:pos="1080"/>
              </w:tabs>
              <w:spacing w:before="120" w:beforeAutospacing="0" w:after="40" w:afterAutospacing="0"/>
              <w:rPr>
                <w:rFonts w:ascii="Arial Narrow" w:hAnsi="Arial Narrow"/>
                <w:sz w:val="20"/>
                <w:szCs w:val="20"/>
              </w:rPr>
            </w:pPr>
            <w:r w:rsidRPr="00144224">
              <w:rPr>
                <w:rFonts w:ascii="Arial Narrow" w:hAnsi="Arial Narrow"/>
                <w:b/>
                <w:bCs/>
                <w:sz w:val="20"/>
                <w:szCs w:val="20"/>
              </w:rPr>
              <w:t>Fee</w:t>
            </w:r>
            <w:r w:rsidRPr="00144224">
              <w:rPr>
                <w:rFonts w:ascii="Arial Narrow" w:hAnsi="Arial Narrow"/>
                <w:sz w:val="20"/>
                <w:szCs w:val="20"/>
              </w:rPr>
              <w:t>: $1,200.00</w:t>
            </w:r>
            <w:r w:rsidR="00502D9B" w:rsidRPr="00144224">
              <w:rPr>
                <w:rFonts w:ascii="Arial Narrow" w:hAnsi="Arial Narrow"/>
                <w:sz w:val="20"/>
                <w:szCs w:val="20"/>
              </w:rPr>
              <w:t xml:space="preserve"> </w:t>
            </w:r>
            <w:r w:rsidRPr="00144224">
              <w:rPr>
                <w:rFonts w:ascii="Arial Narrow" w:hAnsi="Arial Narrow"/>
                <w:b/>
                <w:bCs/>
                <w:sz w:val="20"/>
                <w:szCs w:val="20"/>
              </w:rPr>
              <w:t>Benefit</w:t>
            </w:r>
            <w:r w:rsidRPr="00144224">
              <w:rPr>
                <w:rFonts w:ascii="Arial Narrow" w:hAnsi="Arial Narrow"/>
                <w:sz w:val="20"/>
                <w:szCs w:val="20"/>
              </w:rPr>
              <w:t>: 75% = $900.00 85% = $1,101.30* </w:t>
            </w:r>
          </w:p>
          <w:p w14:paraId="23FE49E9" w14:textId="7C5EBCD2" w:rsidR="000314A0" w:rsidRPr="00144224" w:rsidRDefault="000314A0" w:rsidP="00144224">
            <w:pPr>
              <w:pStyle w:val="NormalWeb"/>
              <w:spacing w:before="120" w:beforeAutospacing="0" w:after="40" w:afterAutospacing="0"/>
              <w:rPr>
                <w:rFonts w:ascii="Arial Narrow" w:hAnsi="Arial Narrow"/>
                <w:b/>
                <w:bCs/>
                <w:sz w:val="20"/>
                <w:szCs w:val="20"/>
              </w:rPr>
            </w:pPr>
            <w:r w:rsidRPr="00144224">
              <w:rPr>
                <w:rFonts w:ascii="Arial Narrow" w:hAnsi="Arial Narrow"/>
                <w:sz w:val="20"/>
                <w:szCs w:val="20"/>
              </w:rPr>
              <w:t>(See para PN.0.23 of explanatory notes to this Category)</w:t>
            </w:r>
          </w:p>
        </w:tc>
      </w:tr>
      <w:tr w:rsidR="00A01479" w:rsidRPr="00072B37" w14:paraId="7DCB8398" w14:textId="77777777" w:rsidTr="77099F32">
        <w:tc>
          <w:tcPr>
            <w:tcW w:w="5000" w:type="pct"/>
            <w:hideMark/>
          </w:tcPr>
          <w:p w14:paraId="7295C1C4" w14:textId="77777777" w:rsidR="00A01479" w:rsidRPr="00144224" w:rsidRDefault="00A01479">
            <w:pPr>
              <w:pStyle w:val="NormalWeb"/>
              <w:spacing w:before="120" w:beforeAutospacing="0" w:after="40" w:afterAutospacing="0"/>
              <w:rPr>
                <w:rFonts w:ascii="Arial Narrow" w:hAnsi="Arial Narrow"/>
                <w:sz w:val="20"/>
                <w:szCs w:val="20"/>
              </w:rPr>
            </w:pPr>
            <w:r w:rsidRPr="00144224">
              <w:rPr>
                <w:rFonts w:ascii="Arial Narrow" w:hAnsi="Arial Narrow"/>
                <w:b/>
                <w:bCs/>
                <w:sz w:val="20"/>
                <w:szCs w:val="20"/>
              </w:rPr>
              <w:t>Explanatory note PN.0.23 - Informed consent and genetic counselling for genetic tests</w:t>
            </w:r>
          </w:p>
          <w:p w14:paraId="7637628D" w14:textId="77777777" w:rsidR="00A01479" w:rsidRPr="00144224" w:rsidRDefault="00A01479" w:rsidP="00144224">
            <w:pPr>
              <w:pStyle w:val="NormalWeb"/>
              <w:spacing w:before="120" w:beforeAutospacing="0" w:after="0" w:afterAutospacing="0"/>
              <w:rPr>
                <w:rFonts w:ascii="Arial Narrow" w:hAnsi="Arial Narrow"/>
                <w:sz w:val="20"/>
                <w:szCs w:val="20"/>
              </w:rPr>
            </w:pPr>
            <w:r w:rsidRPr="00144224">
              <w:rPr>
                <w:rFonts w:ascii="Arial Narrow" w:hAnsi="Arial Narrow"/>
                <w:sz w:val="20"/>
                <w:szCs w:val="20"/>
              </w:rPr>
              <w:t>Items 73297, 73300, 73305, 73334, 73339, 73340, 73393, 73394, 73417, 73418, 73440, 73441, 73442, 73443, and 73444</w:t>
            </w:r>
          </w:p>
          <w:p w14:paraId="45CCC038" w14:textId="77777777" w:rsidR="00A01479" w:rsidRPr="00144224" w:rsidRDefault="00A01479" w:rsidP="00144224">
            <w:pPr>
              <w:pStyle w:val="NormalWeb"/>
              <w:spacing w:before="0" w:beforeAutospacing="0" w:after="120" w:afterAutospacing="0"/>
              <w:rPr>
                <w:rFonts w:ascii="Arial Narrow" w:hAnsi="Arial Narrow"/>
                <w:sz w:val="20"/>
                <w:szCs w:val="20"/>
              </w:rPr>
            </w:pPr>
            <w:r w:rsidRPr="00144224">
              <w:rPr>
                <w:rFonts w:ascii="Arial Narrow" w:hAnsi="Arial Narrow"/>
                <w:sz w:val="20"/>
                <w:szCs w:val="20"/>
              </w:rPr>
              <w:t>Prior to ordering these tests the ordering practitioner should ensure the patient (or approximate proxy) has given written informed consent. Testing should only be performed after genetic counselling. Appropriate genetic counselling should be provided to the patient either by the specialist treating practitioner, a genetic counselling service or a clinical geneticist on referral. Further counselling may be necessary upon receipt of the test results.</w:t>
            </w:r>
          </w:p>
          <w:p w14:paraId="5AF70E11" w14:textId="77777777" w:rsidR="00A01479" w:rsidRPr="00144224" w:rsidRDefault="00A01479" w:rsidP="00144224">
            <w:pPr>
              <w:pStyle w:val="NormalWeb"/>
              <w:spacing w:before="120" w:beforeAutospacing="0" w:after="0" w:afterAutospacing="0"/>
              <w:rPr>
                <w:rFonts w:ascii="Arial Narrow" w:hAnsi="Arial Narrow"/>
                <w:sz w:val="20"/>
                <w:szCs w:val="20"/>
              </w:rPr>
            </w:pPr>
            <w:r w:rsidRPr="00144224">
              <w:rPr>
                <w:rFonts w:ascii="Arial Narrow" w:hAnsi="Arial Narrow"/>
                <w:sz w:val="20"/>
                <w:szCs w:val="20"/>
              </w:rPr>
              <w:t>Items 73295, 73296, 73304, 73333, 73392, 73395, 73416 and 73419</w:t>
            </w:r>
          </w:p>
          <w:p w14:paraId="52E38754" w14:textId="77777777" w:rsidR="00A01479" w:rsidRPr="00144224" w:rsidRDefault="00A01479" w:rsidP="00144224">
            <w:pPr>
              <w:pStyle w:val="NormalWeb"/>
              <w:spacing w:before="0" w:beforeAutospacing="0" w:after="120" w:afterAutospacing="0"/>
              <w:rPr>
                <w:rFonts w:ascii="Arial Narrow" w:hAnsi="Arial Narrow"/>
                <w:i/>
                <w:iCs/>
                <w:sz w:val="20"/>
                <w:szCs w:val="20"/>
              </w:rPr>
            </w:pPr>
            <w:r w:rsidRPr="00144224">
              <w:rPr>
                <w:rFonts w:ascii="Arial Narrow" w:hAnsi="Arial Narrow"/>
                <w:sz w:val="20"/>
                <w:szCs w:val="20"/>
              </w:rPr>
              <w:t>Note should be taken of any relevant personal or family history that might indicate a cancer predisposition syndrome and influence the scope of germline testing that is requested. Patients who are found to have any form of affected allele should be referred for post-test genetic counselling as there may be implications for other family members. Appropriate genetic counselling should be provided to the patient either by the specialist treating practitioner, a genetic counselling service or a clinical geneticist on referral.</w:t>
            </w:r>
          </w:p>
        </w:tc>
      </w:tr>
    </w:tbl>
    <w:p w14:paraId="56DCC46C" w14:textId="7401CB28" w:rsidR="00BF4E1D" w:rsidRDefault="00072B37" w:rsidP="005309CD">
      <w:pPr>
        <w:pStyle w:val="FooterTableFigure"/>
      </w:pPr>
      <w:r w:rsidRPr="00144224">
        <w:rPr>
          <w:i/>
          <w:iCs/>
        </w:rPr>
        <w:t>BRCA</w:t>
      </w:r>
      <w:r>
        <w:t xml:space="preserve"> = </w:t>
      </w:r>
      <w:r w:rsidR="00CA5D3C" w:rsidRPr="00144224">
        <w:rPr>
          <w:i/>
          <w:iCs/>
        </w:rPr>
        <w:t>BReast C</w:t>
      </w:r>
      <w:r w:rsidRPr="00144224">
        <w:rPr>
          <w:i/>
          <w:iCs/>
        </w:rPr>
        <w:t>A</w:t>
      </w:r>
      <w:r w:rsidR="00CA5D3C" w:rsidRPr="00144224">
        <w:rPr>
          <w:i/>
          <w:iCs/>
        </w:rPr>
        <w:t>ncer</w:t>
      </w:r>
      <w:r>
        <w:t xml:space="preserve"> gene;</w:t>
      </w:r>
      <w:r w:rsidR="00CA5D3C" w:rsidRPr="00CA5D3C">
        <w:t xml:space="preserve"> </w:t>
      </w:r>
      <w:r w:rsidR="004B5EC2">
        <w:t xml:space="preserve">FIGO = </w:t>
      </w:r>
      <w:r w:rsidR="00CA5D3C" w:rsidRPr="00CA5D3C">
        <w:t>International Federation of Gyn</w:t>
      </w:r>
      <w:r w:rsidR="00CA5D3C">
        <w:t>a</w:t>
      </w:r>
      <w:r w:rsidR="00CA5D3C" w:rsidRPr="00CA5D3C">
        <w:t>ecology and Obstetrics</w:t>
      </w:r>
      <w:r w:rsidR="00CA5D3C">
        <w:t xml:space="preserve">; </w:t>
      </w:r>
      <w:r w:rsidR="00114B0E">
        <w:t>MBS = Medicare Benefits Schedule</w:t>
      </w:r>
      <w:r w:rsidR="00D44A5B">
        <w:t xml:space="preserve">; PBS = </w:t>
      </w:r>
      <w:r w:rsidR="00D44A5B" w:rsidRPr="00D44A5B">
        <w:t>Pharmaceutical Benefits Scheme</w:t>
      </w:r>
      <w:r w:rsidR="00D44A5B">
        <w:t>.</w:t>
      </w:r>
    </w:p>
    <w:p w14:paraId="0E674C75" w14:textId="2EA98770" w:rsidR="00511B78" w:rsidRDefault="005309CD" w:rsidP="00A17F05">
      <w:pPr>
        <w:pStyle w:val="FooterTableFigure"/>
        <w:spacing w:after="240"/>
        <w:contextualSpacing w:val="0"/>
      </w:pPr>
      <w:r w:rsidRPr="004D70F4">
        <w:t>* 85% benefit reflects the 1 November 202</w:t>
      </w:r>
      <w:r>
        <w:t>3</w:t>
      </w:r>
      <w:r w:rsidRPr="004D70F4">
        <w:t xml:space="preserve"> Greatest Permissible Gap (GPG) of $</w:t>
      </w:r>
      <w:r>
        <w:t>98.70</w:t>
      </w:r>
      <w:r w:rsidRPr="004D70F4">
        <w:t>. All out-of-hospital Medicare services that have an MBS fee of $</w:t>
      </w:r>
      <w:r>
        <w:t>658.35</w:t>
      </w:r>
      <w:r w:rsidRPr="004D70F4">
        <w:t xml:space="preserve"> or more will attract a benefit that is greater than 85% of the MBS fee – being the schedule fee less the GPG amount. The GPG amount is indexed annually on 1 November in line with the Consumer Price Index (CPI) (June quarter).</w:t>
      </w:r>
    </w:p>
    <w:tbl>
      <w:tblPr>
        <w:tblStyle w:val="TableGrid"/>
        <w:tblW w:w="0" w:type="auto"/>
        <w:tblLook w:val="04A0" w:firstRow="1" w:lastRow="0" w:firstColumn="1" w:lastColumn="0" w:noHBand="0" w:noVBand="1"/>
        <w:tblDescription w:val="Consumer summary of MSAC consideration"/>
      </w:tblPr>
      <w:tblGrid>
        <w:gridCol w:w="9016"/>
      </w:tblGrid>
      <w:tr w:rsidR="00801332" w:rsidRPr="00C86E49" w14:paraId="3DEB1C97" w14:textId="77777777" w:rsidTr="11FAFD31">
        <w:trPr>
          <w:tblHeader/>
        </w:trPr>
        <w:tc>
          <w:tcPr>
            <w:tcW w:w="9016" w:type="dxa"/>
          </w:tcPr>
          <w:p w14:paraId="0039A13C" w14:textId="3B2C95DE" w:rsidR="00801332" w:rsidRPr="00C86E49" w:rsidRDefault="00801332" w:rsidP="00A94D8C">
            <w:pPr>
              <w:keepNext/>
              <w:keepLines/>
              <w:spacing w:after="200"/>
              <w:outlineLvl w:val="2"/>
              <w:rPr>
                <w:rFonts w:ascii="Franklin Gothic Medium" w:eastAsia="Calibri" w:hAnsi="Franklin Gothic Medium" w:cs="Times New Roman"/>
                <w:iCs/>
                <w:color w:val="1F3763"/>
                <w:sz w:val="24"/>
                <w:szCs w:val="24"/>
              </w:rPr>
            </w:pPr>
            <w:r w:rsidRPr="00C86E49">
              <w:rPr>
                <w:rFonts w:ascii="Franklin Gothic Medium" w:eastAsia="Times New Roman" w:hAnsi="Franklin Gothic Medium" w:cs="Times New Roman"/>
                <w:sz w:val="24"/>
                <w:szCs w:val="24"/>
              </w:rPr>
              <w:t>Consumer summary</w:t>
            </w:r>
          </w:p>
        </w:tc>
      </w:tr>
      <w:tr w:rsidR="00801332" w:rsidRPr="00C86E49" w14:paraId="7B622EB3" w14:textId="77777777" w:rsidTr="11FAFD31">
        <w:tc>
          <w:tcPr>
            <w:tcW w:w="9016" w:type="dxa"/>
          </w:tcPr>
          <w:p w14:paraId="6003ADA6" w14:textId="5F133633" w:rsidR="009826C0" w:rsidRDefault="005830B4" w:rsidP="009826C0">
            <w:pPr>
              <w:rPr>
                <w:szCs w:val="24"/>
              </w:rPr>
            </w:pPr>
            <w:r>
              <w:t xml:space="preserve">This was a codependent application </w:t>
            </w:r>
            <w:r w:rsidR="00D946BA">
              <w:t xml:space="preserve">from </w:t>
            </w:r>
            <w:r w:rsidR="00D946BA" w:rsidRPr="00D43A25">
              <w:t>AstraZeneca Pty L</w:t>
            </w:r>
            <w:r w:rsidR="00D946BA">
              <w:t xml:space="preserve">td </w:t>
            </w:r>
            <w:r>
              <w:t xml:space="preserve">to </w:t>
            </w:r>
            <w:r w:rsidR="00D946BA">
              <w:t>the Medical Services Advisory Committee (</w:t>
            </w:r>
            <w:r>
              <w:t>MSAC</w:t>
            </w:r>
            <w:r w:rsidR="00D946BA">
              <w:t>)</w:t>
            </w:r>
            <w:r>
              <w:t xml:space="preserve"> and the Pharmaceutical Benefits Advisory Committee (PBAC).</w:t>
            </w:r>
            <w:r w:rsidR="00D946BA">
              <w:t xml:space="preserve"> </w:t>
            </w:r>
            <w:r w:rsidR="009826C0">
              <w:t>Th</w:t>
            </w:r>
            <w:r w:rsidR="00D946BA">
              <w:t>e applic</w:t>
            </w:r>
            <w:r w:rsidR="00A65819">
              <w:t xml:space="preserve">ation requested </w:t>
            </w:r>
            <w:r w:rsidR="009826C0" w:rsidRPr="002C0655">
              <w:t>Medicare Benefits Schedule (MBS</w:t>
            </w:r>
            <w:r w:rsidR="009826C0" w:rsidRPr="002F655C">
              <w:t xml:space="preserve">) </w:t>
            </w:r>
            <w:r w:rsidR="009826C0">
              <w:t>funding for gene</w:t>
            </w:r>
            <w:r w:rsidR="00385CF5">
              <w:t>tic</w:t>
            </w:r>
            <w:r w:rsidR="009826C0">
              <w:t xml:space="preserve"> </w:t>
            </w:r>
            <w:r w:rsidR="009826C0" w:rsidRPr="002F655C">
              <w:t>test</w:t>
            </w:r>
            <w:r w:rsidR="004F6851">
              <w:t>ing</w:t>
            </w:r>
            <w:r w:rsidR="009826C0">
              <w:t xml:space="preserve"> </w:t>
            </w:r>
            <w:r w:rsidR="00E33E9F">
              <w:t>in</w:t>
            </w:r>
            <w:r w:rsidR="00AA4410">
              <w:t xml:space="preserve"> patient</w:t>
            </w:r>
            <w:r w:rsidR="002F5D23">
              <w:t>s</w:t>
            </w:r>
            <w:r w:rsidR="00AA4410">
              <w:t xml:space="preserve"> </w:t>
            </w:r>
            <w:r w:rsidR="004A3DAB">
              <w:t xml:space="preserve">with </w:t>
            </w:r>
            <w:r w:rsidR="004A3DAB" w:rsidRPr="00B2171B">
              <w:t xml:space="preserve">human epidermal growth factor </w:t>
            </w:r>
            <w:r w:rsidR="004A3DAB">
              <w:t>2 (</w:t>
            </w:r>
            <w:r w:rsidR="004A3DAB" w:rsidRPr="00ED7DA4">
              <w:t>HER2</w:t>
            </w:r>
            <w:r w:rsidR="004A3DAB">
              <w:t>)</w:t>
            </w:r>
            <w:r w:rsidR="004A3DAB" w:rsidRPr="00ED7DA4">
              <w:t>-negative</w:t>
            </w:r>
            <w:r w:rsidR="00D26AB9">
              <w:t xml:space="preserve"> breast cancer </w:t>
            </w:r>
            <w:r w:rsidR="004E68A7">
              <w:t>which has spread beyond the origin tumour</w:t>
            </w:r>
            <w:r w:rsidR="002F5D23">
              <w:t>. The purpose of the test is</w:t>
            </w:r>
            <w:r w:rsidR="00E33E9F">
              <w:t xml:space="preserve"> to </w:t>
            </w:r>
            <w:r w:rsidR="004F6851">
              <w:t xml:space="preserve">determine if the patient </w:t>
            </w:r>
            <w:r w:rsidR="00E76A68">
              <w:t xml:space="preserve">has </w:t>
            </w:r>
            <w:r w:rsidR="00124FF8">
              <w:t>a type of breast cancer</w:t>
            </w:r>
            <w:r w:rsidR="003B06E9">
              <w:t xml:space="preserve"> (</w:t>
            </w:r>
            <w:r w:rsidR="00E76A68">
              <w:t xml:space="preserve">germline </w:t>
            </w:r>
            <w:r w:rsidR="00C7468D" w:rsidRPr="00144224">
              <w:rPr>
                <w:i/>
                <w:iCs/>
              </w:rPr>
              <w:t>BRCA</w:t>
            </w:r>
            <w:r w:rsidR="00C7468D">
              <w:t>-mutated</w:t>
            </w:r>
            <w:r w:rsidR="00FC7B88">
              <w:t>)</w:t>
            </w:r>
            <w:r w:rsidR="001B3DEF">
              <w:t xml:space="preserve"> in order to access </w:t>
            </w:r>
            <w:r w:rsidR="00A2599A">
              <w:t>treatment with</w:t>
            </w:r>
            <w:r w:rsidR="009826C0">
              <w:t xml:space="preserve"> </w:t>
            </w:r>
            <w:r w:rsidR="00DF19AE">
              <w:t>a</w:t>
            </w:r>
            <w:r w:rsidR="002C614E">
              <w:t>n oral</w:t>
            </w:r>
            <w:r w:rsidR="00DF19AE">
              <w:t xml:space="preserve"> medicine </w:t>
            </w:r>
            <w:r w:rsidR="00077A3B">
              <w:t>(</w:t>
            </w:r>
            <w:r w:rsidR="00093CA7">
              <w:t>olaparib)</w:t>
            </w:r>
            <w:r w:rsidR="009826C0">
              <w:t xml:space="preserve"> </w:t>
            </w:r>
            <w:r w:rsidR="00E632B2">
              <w:t>on</w:t>
            </w:r>
            <w:r w:rsidR="009826C0">
              <w:t xml:space="preserve"> the Pharmaceutical Benefits Scheme (</w:t>
            </w:r>
            <w:r w:rsidR="009826C0" w:rsidRPr="002F655C">
              <w:t>PBS</w:t>
            </w:r>
            <w:r w:rsidR="009826C0">
              <w:t>).</w:t>
            </w:r>
          </w:p>
          <w:p w14:paraId="0829B16B" w14:textId="61F2BBBA" w:rsidR="009826C0" w:rsidRDefault="009826C0" w:rsidP="009826C0">
            <w:r>
              <w:t>Breast cancer is the</w:t>
            </w:r>
            <w:r w:rsidR="00317450">
              <w:t xml:space="preserve"> </w:t>
            </w:r>
            <w:r w:rsidR="0009495B">
              <w:t xml:space="preserve">most </w:t>
            </w:r>
            <w:r w:rsidR="00B446C1">
              <w:t xml:space="preserve">commonly </w:t>
            </w:r>
            <w:r w:rsidR="0009495B">
              <w:t>diagnosed</w:t>
            </w:r>
            <w:r>
              <w:t xml:space="preserve"> cancer </w:t>
            </w:r>
            <w:r w:rsidR="00522082">
              <w:t xml:space="preserve">for </w:t>
            </w:r>
            <w:r w:rsidR="0014329C">
              <w:t xml:space="preserve">females </w:t>
            </w:r>
            <w:r>
              <w:t>in Australia. Some p</w:t>
            </w:r>
            <w:r w:rsidR="006D3872">
              <w:t>atients</w:t>
            </w:r>
            <w:r>
              <w:t xml:space="preserve"> with breast cancer have </w:t>
            </w:r>
            <w:r w:rsidR="00D73E42">
              <w:t>inherited (germline)</w:t>
            </w:r>
            <w:r w:rsidR="00D73E42" w:rsidRPr="00722E36">
              <w:rPr>
                <w:i/>
                <w:iCs/>
              </w:rPr>
              <w:t xml:space="preserve"> </w:t>
            </w:r>
            <w:r w:rsidRPr="00722E36">
              <w:rPr>
                <w:i/>
                <w:iCs/>
              </w:rPr>
              <w:t>BRCA1</w:t>
            </w:r>
            <w:r>
              <w:t xml:space="preserve"> and </w:t>
            </w:r>
            <w:r w:rsidRPr="00722E36">
              <w:rPr>
                <w:i/>
                <w:iCs/>
              </w:rPr>
              <w:t>BRCA2</w:t>
            </w:r>
            <w:r>
              <w:t xml:space="preserve"> gene</w:t>
            </w:r>
            <w:r w:rsidR="00EB5D99">
              <w:t xml:space="preserve"> disease causing (</w:t>
            </w:r>
            <w:r>
              <w:t xml:space="preserve">pathogenic </w:t>
            </w:r>
            <w:r w:rsidR="00D73E42">
              <w:t>or likely pathogenic</w:t>
            </w:r>
            <w:r w:rsidR="00EB5D99">
              <w:t>)</w:t>
            </w:r>
            <w:r w:rsidR="00D73E42">
              <w:t xml:space="preserve"> </w:t>
            </w:r>
            <w:r>
              <w:t xml:space="preserve">variants, which can be identified by genetic testing. </w:t>
            </w:r>
          </w:p>
          <w:p w14:paraId="3A7BB12C" w14:textId="0CC26865" w:rsidR="0088407D" w:rsidRDefault="00555882" w:rsidP="009826C0">
            <w:r>
              <w:t>Genetic testing</w:t>
            </w:r>
            <w:r w:rsidR="00ED2D64">
              <w:t xml:space="preserve"> (a type of medical test)</w:t>
            </w:r>
            <w:r>
              <w:t xml:space="preserve"> </w:t>
            </w:r>
            <w:r w:rsidR="007664DD">
              <w:t xml:space="preserve">looks at a person’s deoxyribonucleic acid (DNA) </w:t>
            </w:r>
            <w:r w:rsidR="002E0CE8">
              <w:t>for</w:t>
            </w:r>
            <w:r w:rsidR="00A44735">
              <w:t xml:space="preserve"> </w:t>
            </w:r>
            <w:r w:rsidR="00463B6D">
              <w:t>differences</w:t>
            </w:r>
            <w:r w:rsidR="00A44735">
              <w:t xml:space="preserve"> </w:t>
            </w:r>
            <w:r w:rsidR="009E2CFF">
              <w:t xml:space="preserve">in genes </w:t>
            </w:r>
            <w:r w:rsidR="00F70CC5">
              <w:t>(</w:t>
            </w:r>
            <w:r w:rsidR="00ED2D64">
              <w:t xml:space="preserve">called </w:t>
            </w:r>
            <w:r w:rsidR="00D0581F">
              <w:t xml:space="preserve">genetic </w:t>
            </w:r>
            <w:r w:rsidR="00F70CC5">
              <w:t xml:space="preserve">variants) </w:t>
            </w:r>
            <w:r w:rsidR="003F433A">
              <w:t xml:space="preserve">that could explain why </w:t>
            </w:r>
            <w:r w:rsidR="00ED2D64">
              <w:t>a person has a certain condition.</w:t>
            </w:r>
            <w:r w:rsidR="007664DD">
              <w:t xml:space="preserve"> </w:t>
            </w:r>
            <w:r w:rsidR="0088407D">
              <w:t xml:space="preserve">A genetic variant is a permanent difference in a gene’s DNA sequence. </w:t>
            </w:r>
            <w:r w:rsidR="00F954B9">
              <w:t>It</w:t>
            </w:r>
            <w:r w:rsidR="0088407D">
              <w:t xml:space="preserve"> can be </w:t>
            </w:r>
            <w:r w:rsidR="0088407D">
              <w:lastRenderedPageBreak/>
              <w:t>inherited (called a germline variant) if it is present in a person’s egg</w:t>
            </w:r>
            <w:r w:rsidR="00F954B9">
              <w:t>s</w:t>
            </w:r>
            <w:r w:rsidR="0088407D">
              <w:t xml:space="preserve"> or sperm</w:t>
            </w:r>
            <w:r w:rsidR="00F954B9">
              <w:t>s</w:t>
            </w:r>
            <w:r w:rsidR="0088407D">
              <w:t xml:space="preserve"> and becomes incorporated into the DNA of cells throughout the body of the children</w:t>
            </w:r>
            <w:r w:rsidR="00B00A9C">
              <w:t xml:space="preserve">. </w:t>
            </w:r>
            <w:r w:rsidR="00907A66">
              <w:t>Or</w:t>
            </w:r>
            <w:r w:rsidR="0088407D">
              <w:t xml:space="preserve"> </w:t>
            </w:r>
            <w:r w:rsidR="00C94497">
              <w:t>a</w:t>
            </w:r>
            <w:r w:rsidR="006A122D">
              <w:t xml:space="preserve"> genetic variant</w:t>
            </w:r>
            <w:r w:rsidR="0088407D">
              <w:t xml:space="preserve"> </w:t>
            </w:r>
            <w:r w:rsidR="00E13962">
              <w:t xml:space="preserve">(called a somatic variant) </w:t>
            </w:r>
            <w:r w:rsidR="0088407D">
              <w:t xml:space="preserve">can develop during </w:t>
            </w:r>
            <w:r w:rsidR="007243DB">
              <w:t>the person</w:t>
            </w:r>
            <w:r w:rsidR="0088407D">
              <w:t xml:space="preserve">’s lifetime in the cells of the body </w:t>
            </w:r>
            <w:r w:rsidR="00907A66">
              <w:t xml:space="preserve">but </w:t>
            </w:r>
            <w:r w:rsidR="0088407D">
              <w:t>do</w:t>
            </w:r>
            <w:r w:rsidR="0063325C">
              <w:t>es</w:t>
            </w:r>
            <w:r w:rsidR="0088407D">
              <w:t xml:space="preserve"> not pass on DNA to children</w:t>
            </w:r>
            <w:r w:rsidR="000F4545">
              <w:t>.</w:t>
            </w:r>
            <w:r w:rsidR="0088407D">
              <w:t xml:space="preserve"> If a variant has the potential to cause disease, it is called a pathogenic variant (if germline), or a variant of clinical significance (if somatic).</w:t>
            </w:r>
            <w:r w:rsidR="3C9FD2F6">
              <w:t xml:space="preserve"> Cancers </w:t>
            </w:r>
            <w:r w:rsidR="446FF4EA">
              <w:t>are most</w:t>
            </w:r>
            <w:r w:rsidR="15172A0E">
              <w:t>ly</w:t>
            </w:r>
            <w:r w:rsidR="3C9FD2F6">
              <w:t xml:space="preserve"> caused by somatic variants</w:t>
            </w:r>
            <w:r w:rsidR="1F2A97B8">
              <w:t>.</w:t>
            </w:r>
            <w:r w:rsidR="3C9FD2F6">
              <w:t xml:space="preserve"> </w:t>
            </w:r>
            <w:r w:rsidR="2B244FF4">
              <w:t>L</w:t>
            </w:r>
            <w:r w:rsidR="3C9FD2F6">
              <w:t>ess commonly</w:t>
            </w:r>
            <w:r w:rsidR="71DE89BD">
              <w:t>,</w:t>
            </w:r>
            <w:r w:rsidR="2C6A69F2">
              <w:t xml:space="preserve"> </w:t>
            </w:r>
            <w:r w:rsidR="3C9FD2F6">
              <w:t xml:space="preserve">germline variants </w:t>
            </w:r>
            <w:r w:rsidR="05048669">
              <w:t>which p</w:t>
            </w:r>
            <w:r w:rsidR="3C9FD2F6">
              <w:t xml:space="preserve">redispose individuals to a higher </w:t>
            </w:r>
            <w:r w:rsidR="19CDE3E2">
              <w:t xml:space="preserve">lifetime </w:t>
            </w:r>
            <w:r w:rsidR="3C9FD2F6">
              <w:t xml:space="preserve">risk of </w:t>
            </w:r>
            <w:r w:rsidR="4FF79E1E">
              <w:t>developing cancer</w:t>
            </w:r>
            <w:r w:rsidR="5FA82194">
              <w:t xml:space="preserve">, may be </w:t>
            </w:r>
            <w:r w:rsidR="1E77AFE9">
              <w:t>identified</w:t>
            </w:r>
            <w:r w:rsidR="4FF79E1E">
              <w:t>.</w:t>
            </w:r>
            <w:r w:rsidR="043E0F77">
              <w:t xml:space="preserve"> If germline variants are identified</w:t>
            </w:r>
            <w:r w:rsidR="0CDF6F8C">
              <w:t xml:space="preserve"> in an individual</w:t>
            </w:r>
            <w:r w:rsidR="043E0F77">
              <w:t xml:space="preserve">, other members of their family may need to be </w:t>
            </w:r>
            <w:r w:rsidR="60D0CE02">
              <w:t xml:space="preserve">offered </w:t>
            </w:r>
            <w:r w:rsidR="043E0F77">
              <w:t>test</w:t>
            </w:r>
            <w:r w:rsidR="6439BE38">
              <w:t>ing</w:t>
            </w:r>
            <w:r w:rsidR="043E0F77">
              <w:t xml:space="preserve"> to assess their </w:t>
            </w:r>
            <w:r w:rsidR="4A0F9C7A">
              <w:t xml:space="preserve">cancer </w:t>
            </w:r>
            <w:r w:rsidR="043E0F77">
              <w:t>risk</w:t>
            </w:r>
            <w:r w:rsidR="4FF79E1E">
              <w:t>.</w:t>
            </w:r>
          </w:p>
          <w:p w14:paraId="42880FDE" w14:textId="042585A8" w:rsidR="009826C0" w:rsidRDefault="009826C0" w:rsidP="009826C0">
            <w:r>
              <w:t xml:space="preserve">Olaparib comes from a family of medications called PARP inhibitors. Some </w:t>
            </w:r>
            <w:r w:rsidR="00BC4AAE">
              <w:t>medicines</w:t>
            </w:r>
            <w:r>
              <w:t xml:space="preserve"> are more likely to work better if the person has certain genetic variants. In this case, drugs called PARP inhibitors, such as olaparib, work for people with </w:t>
            </w:r>
            <w:r w:rsidR="00703CA4">
              <w:t xml:space="preserve">disease causing </w:t>
            </w:r>
            <w:r>
              <w:t xml:space="preserve">variants in their </w:t>
            </w:r>
            <w:r w:rsidRPr="00F13131">
              <w:rPr>
                <w:i/>
                <w:iCs/>
              </w:rPr>
              <w:t>BRCA1</w:t>
            </w:r>
            <w:r>
              <w:t xml:space="preserve"> or </w:t>
            </w:r>
            <w:r w:rsidRPr="00F13131">
              <w:rPr>
                <w:i/>
                <w:iCs/>
              </w:rPr>
              <w:t>BRCA2</w:t>
            </w:r>
            <w:r>
              <w:t xml:space="preserve"> genes.</w:t>
            </w:r>
          </w:p>
          <w:p w14:paraId="78D581C0" w14:textId="4F125DCD" w:rsidR="009826C0" w:rsidRDefault="009826C0" w:rsidP="009826C0">
            <w:r>
              <w:t xml:space="preserve">MBS item 73295 already supports </w:t>
            </w:r>
            <w:r w:rsidRPr="00722E36">
              <w:rPr>
                <w:i/>
                <w:iCs/>
              </w:rPr>
              <w:t>BRCA1</w:t>
            </w:r>
            <w:r>
              <w:t xml:space="preserve"> and </w:t>
            </w:r>
            <w:r w:rsidRPr="00722E36">
              <w:rPr>
                <w:i/>
                <w:iCs/>
              </w:rPr>
              <w:t>BRCA2</w:t>
            </w:r>
            <w:r>
              <w:t xml:space="preserve"> testing in patients with ovarian cancer, and </w:t>
            </w:r>
            <w:r w:rsidR="00AD368F">
              <w:t>from</w:t>
            </w:r>
            <w:r>
              <w:t xml:space="preserve"> 1 July 2024 </w:t>
            </w:r>
            <w:r w:rsidR="00647ECF">
              <w:t>also support</w:t>
            </w:r>
            <w:r w:rsidR="00524410">
              <w:t>s</w:t>
            </w:r>
            <w:r w:rsidR="00647ECF">
              <w:t xml:space="preserve"> </w:t>
            </w:r>
            <w:r>
              <w:t xml:space="preserve">testing in patients with </w:t>
            </w:r>
            <w:r w:rsidR="00126065">
              <w:t xml:space="preserve">certain </w:t>
            </w:r>
            <w:r w:rsidR="00363C32">
              <w:t>sub</w:t>
            </w:r>
            <w:r w:rsidR="00126065">
              <w:t xml:space="preserve">types of </w:t>
            </w:r>
            <w:r w:rsidR="000B7468">
              <w:t xml:space="preserve">early </w:t>
            </w:r>
            <w:r w:rsidR="00126065">
              <w:t>breast cancer (</w:t>
            </w:r>
            <w:r>
              <w:t>triple negative breast cancer</w:t>
            </w:r>
            <w:r w:rsidR="000B7468">
              <w:t xml:space="preserve">, </w:t>
            </w:r>
            <w:r w:rsidR="52F2A390">
              <w:t xml:space="preserve">or </w:t>
            </w:r>
            <w:r>
              <w:t xml:space="preserve">hormone receptor positive, HER2-negative </w:t>
            </w:r>
            <w:r w:rsidR="2B170017">
              <w:t xml:space="preserve">breast cancer </w:t>
            </w:r>
            <w:r w:rsidR="00A131D3">
              <w:t xml:space="preserve">with </w:t>
            </w:r>
            <w:r w:rsidR="000E2BE3">
              <w:t>high-risk characteristics)</w:t>
            </w:r>
            <w:r>
              <w:t>.</w:t>
            </w:r>
            <w:r w:rsidR="00234C2F">
              <w:t xml:space="preserve"> T</w:t>
            </w:r>
            <w:r>
              <w:t xml:space="preserve">he applicant requested </w:t>
            </w:r>
            <w:r w:rsidR="005A6A7D">
              <w:t>expan</w:t>
            </w:r>
            <w:r w:rsidR="00C057BC">
              <w:t>ding</w:t>
            </w:r>
            <w:r w:rsidR="005A6A7D">
              <w:t xml:space="preserve"> the testing population to include </w:t>
            </w:r>
            <w:r>
              <w:t xml:space="preserve">patients with </w:t>
            </w:r>
            <w:r w:rsidR="00F12B5D">
              <w:t>more advanced breast cancer (</w:t>
            </w:r>
            <w:r>
              <w:t>locally advanced or metastatic</w:t>
            </w:r>
            <w:r w:rsidR="00F12B5D">
              <w:t>,</w:t>
            </w:r>
            <w:r>
              <w:t xml:space="preserve"> HER-2 negative</w:t>
            </w:r>
            <w:r w:rsidR="00F12B5D">
              <w:t>)</w:t>
            </w:r>
            <w:r w:rsidR="00695EE2">
              <w:t>.</w:t>
            </w:r>
          </w:p>
          <w:p w14:paraId="31DF953E" w14:textId="7CF3B617" w:rsidR="009826C0" w:rsidRDefault="009826C0" w:rsidP="009826C0">
            <w:r>
              <w:t xml:space="preserve">MSAC </w:t>
            </w:r>
            <w:r w:rsidR="00B71913">
              <w:t xml:space="preserve">recalled that it </w:t>
            </w:r>
            <w:r>
              <w:t xml:space="preserve">had </w:t>
            </w:r>
            <w:r w:rsidR="00C0670E">
              <w:t xml:space="preserve">previously </w:t>
            </w:r>
            <w:r>
              <w:t xml:space="preserve">accepted </w:t>
            </w:r>
            <w:r w:rsidR="00F12224">
              <w:t xml:space="preserve">germline </w:t>
            </w:r>
            <w:r w:rsidRPr="00F13131">
              <w:rPr>
                <w:i/>
                <w:iCs/>
              </w:rPr>
              <w:t>BRCA</w:t>
            </w:r>
            <w:r>
              <w:t xml:space="preserve"> genetic testing </w:t>
            </w:r>
            <w:r w:rsidR="00F12224">
              <w:t xml:space="preserve">to be </w:t>
            </w:r>
            <w:r>
              <w:t xml:space="preserve">safe, effective and </w:t>
            </w:r>
            <w:r w:rsidR="004D2BE7">
              <w:t xml:space="preserve">represents </w:t>
            </w:r>
            <w:r w:rsidR="00804ED3">
              <w:t>value</w:t>
            </w:r>
            <w:r w:rsidR="004D2BE7">
              <w:t xml:space="preserve"> for money</w:t>
            </w:r>
            <w:r>
              <w:t>. MSAC noted th</w:t>
            </w:r>
            <w:r w:rsidR="009C09E6">
              <w:t>e</w:t>
            </w:r>
            <w:r>
              <w:t xml:space="preserve"> </w:t>
            </w:r>
            <w:r w:rsidR="009C09E6">
              <w:t>great</w:t>
            </w:r>
            <w:r>
              <w:t xml:space="preserve"> need for patients with advanced </w:t>
            </w:r>
            <w:r w:rsidR="00804ED3">
              <w:t xml:space="preserve">disease </w:t>
            </w:r>
            <w:r>
              <w:t xml:space="preserve">to access testing as soon as possible so that </w:t>
            </w:r>
            <w:r w:rsidR="002A6966">
              <w:t>a</w:t>
            </w:r>
            <w:r>
              <w:t xml:space="preserve"> relevant treatment (</w:t>
            </w:r>
            <w:r w:rsidR="00B71913">
              <w:t xml:space="preserve">e.g., </w:t>
            </w:r>
            <w:r w:rsidR="00D00850">
              <w:t xml:space="preserve">olaparib) </w:t>
            </w:r>
            <w:r>
              <w:t>can be started without unnecessary delay.</w:t>
            </w:r>
            <w:r w:rsidR="00695EE2">
              <w:t xml:space="preserve"> MSAC </w:t>
            </w:r>
            <w:r w:rsidR="00877DC5">
              <w:t xml:space="preserve">therefore </w:t>
            </w:r>
            <w:r w:rsidR="00695EE2">
              <w:t xml:space="preserve">supported the expansion of the testing population to include all patients with breast cancer, rather than limiting </w:t>
            </w:r>
            <w:r w:rsidR="00B773C3">
              <w:t>testing t</w:t>
            </w:r>
            <w:r w:rsidR="00695EE2">
              <w:t>o p</w:t>
            </w:r>
            <w:r w:rsidR="00B773C3">
              <w:t>atients</w:t>
            </w:r>
            <w:r w:rsidR="00695EE2">
              <w:t xml:space="preserve"> with certain </w:t>
            </w:r>
            <w:r w:rsidR="00D818F3">
              <w:t>sub</w:t>
            </w:r>
            <w:r w:rsidR="00695EE2">
              <w:t>types of breast cancer.</w:t>
            </w:r>
          </w:p>
          <w:p w14:paraId="696D33FA" w14:textId="2C29E3D0" w:rsidR="009826C0" w:rsidRDefault="00FB4E0B" w:rsidP="009826C0">
            <w:r>
              <w:t xml:space="preserve">MSAC </w:t>
            </w:r>
            <w:r w:rsidR="002251E3">
              <w:t>advised</w:t>
            </w:r>
            <w:r w:rsidR="001D0EAE">
              <w:t xml:space="preserve"> that </w:t>
            </w:r>
            <w:r w:rsidR="009826C0">
              <w:t>family members of p</w:t>
            </w:r>
            <w:r w:rsidR="000C433F">
              <w:t>atients</w:t>
            </w:r>
            <w:r w:rsidR="009826C0">
              <w:t xml:space="preserve"> found to have </w:t>
            </w:r>
            <w:r w:rsidR="009826C0" w:rsidRPr="00F13131">
              <w:rPr>
                <w:i/>
                <w:iCs/>
              </w:rPr>
              <w:t>BRCA1/2</w:t>
            </w:r>
            <w:r w:rsidR="009826C0">
              <w:t xml:space="preserve"> pathogenic </w:t>
            </w:r>
            <w:r>
              <w:t xml:space="preserve">or likely pathogenic </w:t>
            </w:r>
            <w:r w:rsidR="009826C0">
              <w:t xml:space="preserve">variants through this testing </w:t>
            </w:r>
            <w:r w:rsidR="009A6B2D">
              <w:t>should</w:t>
            </w:r>
            <w:r w:rsidR="009826C0">
              <w:t xml:space="preserve"> also </w:t>
            </w:r>
            <w:r w:rsidR="00415413">
              <w:t xml:space="preserve">consider having </w:t>
            </w:r>
            <w:r w:rsidR="009826C0" w:rsidRPr="00FC0822">
              <w:rPr>
                <w:i/>
                <w:iCs/>
              </w:rPr>
              <w:t>BRCA</w:t>
            </w:r>
            <w:r w:rsidR="009826C0">
              <w:t xml:space="preserve"> testing. </w:t>
            </w:r>
            <w:r w:rsidR="0075643F">
              <w:t>This is because</w:t>
            </w:r>
            <w:r w:rsidR="003A47AB">
              <w:t xml:space="preserve"> </w:t>
            </w:r>
            <w:r w:rsidR="003E60AE">
              <w:t>having</w:t>
            </w:r>
            <w:r w:rsidR="0075643F">
              <w:t xml:space="preserve"> </w:t>
            </w:r>
            <w:r w:rsidR="00632E77">
              <w:t xml:space="preserve">these </w:t>
            </w:r>
            <w:r w:rsidR="0075643F">
              <w:t xml:space="preserve">pathogenic variants </w:t>
            </w:r>
            <w:r w:rsidR="00632E77">
              <w:t>would mean</w:t>
            </w:r>
            <w:r w:rsidR="0075643F">
              <w:t xml:space="preserve"> hav</w:t>
            </w:r>
            <w:r w:rsidR="00632E77">
              <w:t>ing</w:t>
            </w:r>
            <w:r w:rsidR="0075643F">
              <w:t xml:space="preserve"> an increased chance of developing certain types of cancer.</w:t>
            </w:r>
          </w:p>
          <w:p w14:paraId="7D3F4A45" w14:textId="5DA5D54E" w:rsidR="00801332" w:rsidRPr="009826C0" w:rsidRDefault="550A1CFF" w:rsidP="009826C0">
            <w:r>
              <w:t xml:space="preserve">MSAC supported the </w:t>
            </w:r>
            <w:r w:rsidR="77A147F2">
              <w:t xml:space="preserve">amendment of </w:t>
            </w:r>
            <w:r w:rsidR="0AA78722">
              <w:t xml:space="preserve">the MBS item description to </w:t>
            </w:r>
            <w:r w:rsidR="61FBF770">
              <w:t>‘</w:t>
            </w:r>
            <w:r w:rsidR="1A51D69F">
              <w:t xml:space="preserve">determine </w:t>
            </w:r>
            <w:r w:rsidR="03EE7282">
              <w:t>access to</w:t>
            </w:r>
            <w:r w:rsidR="1A51D69F">
              <w:t xml:space="preserve"> </w:t>
            </w:r>
            <w:r>
              <w:t>a relevant treatment under the Pharmaceutical Benefits Scheme (PBS)</w:t>
            </w:r>
            <w:r w:rsidR="61FBF770">
              <w:t>’</w:t>
            </w:r>
            <w:r>
              <w:t xml:space="preserve"> rather than specifying </w:t>
            </w:r>
            <w:r w:rsidR="1A51D69F">
              <w:t>a</w:t>
            </w:r>
            <w:r>
              <w:t xml:space="preserve"> drug or drug class, to </w:t>
            </w:r>
            <w:r w:rsidR="064E87DD">
              <w:t>minimise</w:t>
            </w:r>
            <w:r>
              <w:t xml:space="preserve"> </w:t>
            </w:r>
            <w:r w:rsidR="0F88334B">
              <w:t xml:space="preserve">potential </w:t>
            </w:r>
            <w:r w:rsidR="3A170397">
              <w:t xml:space="preserve">future </w:t>
            </w:r>
            <w:r w:rsidR="768313D4">
              <w:t xml:space="preserve">delay </w:t>
            </w:r>
            <w:r w:rsidR="0F88334B">
              <w:t>in patients accessing new treatments</w:t>
            </w:r>
            <w:r>
              <w:t xml:space="preserve">. MSAC also supported modifying the descriptors for MBS items 73296 and 73927 to refer to </w:t>
            </w:r>
            <w:r w:rsidR="12A1008D">
              <w:t>‘</w:t>
            </w:r>
            <w:r>
              <w:t>one or more other relevant genes</w:t>
            </w:r>
            <w:r w:rsidR="12A1008D">
              <w:t>’</w:t>
            </w:r>
            <w:r w:rsidR="16BDFD93">
              <w:t>,</w:t>
            </w:r>
            <w:r w:rsidR="21873A66">
              <w:t xml:space="preserve"> </w:t>
            </w:r>
            <w:r w:rsidR="037ACFC9">
              <w:t xml:space="preserve">to </w:t>
            </w:r>
            <w:r w:rsidR="7632F573">
              <w:t>future proof</w:t>
            </w:r>
            <w:r>
              <w:t xml:space="preserve"> both items </w:t>
            </w:r>
            <w:r w:rsidR="037ACFC9">
              <w:t>from</w:t>
            </w:r>
            <w:r>
              <w:t xml:space="preserve"> future gene list changes and avoid unnecessary </w:t>
            </w:r>
            <w:r w:rsidR="6F15121E">
              <w:t>treatment delay for patients</w:t>
            </w:r>
            <w:r>
              <w:t>.</w:t>
            </w:r>
          </w:p>
          <w:p w14:paraId="48E216B6" w14:textId="5B08D77A" w:rsidR="00801332" w:rsidRPr="00C86E49" w:rsidRDefault="00801332" w:rsidP="00A94D8C">
            <w:pPr>
              <w:keepNext/>
              <w:keepLines/>
              <w:outlineLvl w:val="2"/>
              <w:rPr>
                <w:rFonts w:ascii="Franklin Gothic Medium" w:eastAsia="Times New Roman" w:hAnsi="Franklin Gothic Medium" w:cs="Times New Roman"/>
                <w:sz w:val="24"/>
                <w:szCs w:val="24"/>
              </w:rPr>
            </w:pPr>
            <w:r w:rsidRPr="00C86E49">
              <w:rPr>
                <w:rFonts w:ascii="Franklin Gothic Medium" w:eastAsia="Times New Roman" w:hAnsi="Franklin Gothic Medium" w:cs="Times New Roman"/>
                <w:sz w:val="24"/>
                <w:szCs w:val="24"/>
              </w:rPr>
              <w:t>MSAC’s advice to the Commonwealth Minister for Health and Aged Care</w:t>
            </w:r>
          </w:p>
          <w:p w14:paraId="248E1FAE" w14:textId="0220C4C7" w:rsidR="00801332" w:rsidRPr="00C86E49" w:rsidRDefault="002059D9" w:rsidP="00A94D8C">
            <w:pPr>
              <w:rPr>
                <w:rFonts w:eastAsia="Calibri" w:cs="Times New Roman"/>
              </w:rPr>
            </w:pPr>
            <w:r w:rsidRPr="00AF46D8">
              <w:t>MSAC supported</w:t>
            </w:r>
            <w:r>
              <w:t xml:space="preserve"> the </w:t>
            </w:r>
            <w:r w:rsidR="00E941DE">
              <w:t xml:space="preserve">amendment of </w:t>
            </w:r>
            <w:r w:rsidR="008700FD">
              <w:t xml:space="preserve">existing </w:t>
            </w:r>
            <w:r w:rsidR="00E941DE">
              <w:t>M</w:t>
            </w:r>
            <w:r w:rsidR="00B9057E">
              <w:t xml:space="preserve">BS item 73295 to </w:t>
            </w:r>
            <w:r w:rsidR="00734D5F">
              <w:t>allow</w:t>
            </w:r>
            <w:r>
              <w:t xml:space="preserve"> </w:t>
            </w:r>
            <w:r w:rsidR="002B5551">
              <w:t xml:space="preserve">germline (inherited) </w:t>
            </w:r>
            <w:r w:rsidR="002B5551">
              <w:rPr>
                <w:i/>
                <w:iCs/>
              </w:rPr>
              <w:t xml:space="preserve">BRCA </w:t>
            </w:r>
            <w:r>
              <w:t xml:space="preserve">testing </w:t>
            </w:r>
            <w:r w:rsidR="002D2BD0">
              <w:t xml:space="preserve">to determine </w:t>
            </w:r>
            <w:r w:rsidR="00896DB8">
              <w:t xml:space="preserve">eligibility for </w:t>
            </w:r>
            <w:r w:rsidR="00073B5F">
              <w:t>a relevant t</w:t>
            </w:r>
            <w:r w:rsidR="008C0428">
              <w:t>reatment</w:t>
            </w:r>
            <w:r w:rsidR="00073B5F">
              <w:t xml:space="preserve"> on the PBS</w:t>
            </w:r>
            <w:r w:rsidR="00CD772E">
              <w:t>,</w:t>
            </w:r>
            <w:r w:rsidR="00700AD7">
              <w:t xml:space="preserve"> </w:t>
            </w:r>
            <w:r w:rsidR="00B552AC">
              <w:t xml:space="preserve">in patients with </w:t>
            </w:r>
            <w:r w:rsidR="00734D5F">
              <w:t xml:space="preserve">metastatic </w:t>
            </w:r>
            <w:r w:rsidR="00B552AC">
              <w:t>breast cancer</w:t>
            </w:r>
            <w:r>
              <w:t>. MSAC considered the testing to be safe</w:t>
            </w:r>
            <w:r w:rsidR="003A13D8">
              <w:t>, effective</w:t>
            </w:r>
            <w:r>
              <w:t xml:space="preserve"> and </w:t>
            </w:r>
            <w:r w:rsidR="003A13D8">
              <w:t>good value for money</w:t>
            </w:r>
            <w:r>
              <w:t xml:space="preserve">, and important for people to </w:t>
            </w:r>
            <w:r w:rsidR="0046229D">
              <w:t xml:space="preserve">have timely </w:t>
            </w:r>
            <w:r>
              <w:t xml:space="preserve">access </w:t>
            </w:r>
            <w:r w:rsidR="0046229D">
              <w:t>to</w:t>
            </w:r>
            <w:r>
              <w:t xml:space="preserve"> an appropriate treatment.</w:t>
            </w:r>
          </w:p>
        </w:tc>
      </w:tr>
    </w:tbl>
    <w:p w14:paraId="4ADDCBC0" w14:textId="43F01A11" w:rsidR="00801332" w:rsidRPr="00C86E49" w:rsidRDefault="00801332" w:rsidP="00551769">
      <w:pPr>
        <w:pStyle w:val="Heading2"/>
        <w:numPr>
          <w:ilvl w:val="0"/>
          <w:numId w:val="0"/>
        </w:numPr>
      </w:pPr>
      <w:r w:rsidRPr="00C86E49">
        <w:lastRenderedPageBreak/>
        <w:t>3.</w:t>
      </w:r>
      <w:r w:rsidRPr="00C86E49">
        <w:tab/>
        <w:t>Summary of consideration and rationale for MSAC’s advice</w:t>
      </w:r>
    </w:p>
    <w:p w14:paraId="7BDFFD66" w14:textId="35B59E1F" w:rsidR="007331EA" w:rsidRDefault="004376B3" w:rsidP="00144224">
      <w:pPr>
        <w:spacing w:after="0"/>
      </w:pPr>
      <w:r w:rsidRPr="00516D4E">
        <w:t>MSAC</w:t>
      </w:r>
      <w:r>
        <w:t xml:space="preserve"> noted that this </w:t>
      </w:r>
      <w:r w:rsidR="00585929">
        <w:t>wa</w:t>
      </w:r>
      <w:r>
        <w:t xml:space="preserve">s a </w:t>
      </w:r>
      <w:r w:rsidR="003257DA">
        <w:t xml:space="preserve">streamlined </w:t>
      </w:r>
      <w:r>
        <w:t xml:space="preserve">codependent </w:t>
      </w:r>
      <w:r w:rsidR="00CA6BB2">
        <w:t xml:space="preserve">application </w:t>
      </w:r>
      <w:r>
        <w:t xml:space="preserve">from </w:t>
      </w:r>
      <w:r w:rsidRPr="00D43A25">
        <w:t>AstraZeneca Pty L</w:t>
      </w:r>
      <w:r>
        <w:t>td seeking</w:t>
      </w:r>
      <w:r w:rsidR="007331EA">
        <w:t>:</w:t>
      </w:r>
    </w:p>
    <w:p w14:paraId="5CE532BC" w14:textId="1FB9E8B7" w:rsidR="005F4546" w:rsidRDefault="004376B3" w:rsidP="00144224">
      <w:pPr>
        <w:pStyle w:val="ListParagraph"/>
        <w:numPr>
          <w:ilvl w:val="0"/>
          <w:numId w:val="38"/>
        </w:numPr>
        <w:spacing w:before="60" w:after="60"/>
        <w:ind w:left="714" w:hanging="357"/>
        <w:contextualSpacing w:val="0"/>
      </w:pPr>
      <w:r>
        <w:t xml:space="preserve">MBS funding to identify </w:t>
      </w:r>
      <w:r w:rsidR="00404CE4">
        <w:t xml:space="preserve">germline </w:t>
      </w:r>
      <w:r w:rsidRPr="005F4546">
        <w:rPr>
          <w:i/>
          <w:iCs/>
        </w:rPr>
        <w:t>BRCA1</w:t>
      </w:r>
      <w:r>
        <w:t xml:space="preserve"> or </w:t>
      </w:r>
      <w:r w:rsidRPr="005F4546">
        <w:rPr>
          <w:i/>
          <w:iCs/>
        </w:rPr>
        <w:t>BRCA2</w:t>
      </w:r>
      <w:r>
        <w:t xml:space="preserve"> variants </w:t>
      </w:r>
      <w:r w:rsidR="00C77597" w:rsidRPr="00ED7DA4">
        <w:t xml:space="preserve">in patients with HER2-negative </w:t>
      </w:r>
      <w:r w:rsidR="00C77597">
        <w:t xml:space="preserve">mBC who have received prior (neo)adjuvant chemotherapy </w:t>
      </w:r>
      <w:r>
        <w:t>to determine eligibility for access to treatment with olaparib under the PBS</w:t>
      </w:r>
      <w:r w:rsidR="005F4546">
        <w:t>; and</w:t>
      </w:r>
    </w:p>
    <w:p w14:paraId="78F4EC26" w14:textId="75217CCE" w:rsidR="005F4546" w:rsidRDefault="005F4546" w:rsidP="00A94D8C">
      <w:pPr>
        <w:pStyle w:val="ListParagraph"/>
        <w:numPr>
          <w:ilvl w:val="0"/>
          <w:numId w:val="38"/>
        </w:numPr>
      </w:pPr>
      <w:r>
        <w:lastRenderedPageBreak/>
        <w:t xml:space="preserve">PBS </w:t>
      </w:r>
      <w:r w:rsidR="00BE6EAE">
        <w:t xml:space="preserve">funding for treatment with </w:t>
      </w:r>
      <w:r w:rsidR="00314E7F" w:rsidRPr="00314E7F">
        <w:t xml:space="preserve">olaparib in </w:t>
      </w:r>
      <w:r w:rsidR="00022C32">
        <w:t xml:space="preserve">patients with </w:t>
      </w:r>
      <w:r w:rsidR="00314E7F" w:rsidRPr="00314E7F">
        <w:t xml:space="preserve">HER2-negative </w:t>
      </w:r>
      <w:r w:rsidR="00BE6EAE">
        <w:t>mBC</w:t>
      </w:r>
      <w:r w:rsidR="00314E7F" w:rsidRPr="00314E7F">
        <w:t xml:space="preserve"> </w:t>
      </w:r>
      <w:r w:rsidR="00505D4C">
        <w:t xml:space="preserve">and </w:t>
      </w:r>
      <w:r w:rsidR="00314E7F" w:rsidRPr="00314E7F">
        <w:t xml:space="preserve">a confirmed </w:t>
      </w:r>
      <w:r w:rsidR="00314E7F" w:rsidRPr="00144224">
        <w:rPr>
          <w:i/>
          <w:iCs/>
        </w:rPr>
        <w:t>BRCA1</w:t>
      </w:r>
      <w:r w:rsidR="00314E7F" w:rsidRPr="00314E7F">
        <w:t xml:space="preserve"> or </w:t>
      </w:r>
      <w:r w:rsidR="00314E7F" w:rsidRPr="00144224">
        <w:rPr>
          <w:i/>
          <w:iCs/>
        </w:rPr>
        <w:t>BRCA2</w:t>
      </w:r>
      <w:r w:rsidR="00314E7F" w:rsidRPr="00314E7F">
        <w:t xml:space="preserve"> </w:t>
      </w:r>
      <w:r w:rsidR="007A5E8B">
        <w:t>pathogenic</w:t>
      </w:r>
      <w:r w:rsidR="00E16E74">
        <w:t>/likely pathogenic</w:t>
      </w:r>
      <w:r w:rsidR="007A5E8B">
        <w:t xml:space="preserve"> v</w:t>
      </w:r>
      <w:r w:rsidR="007331EA">
        <w:t>ariant</w:t>
      </w:r>
      <w:r w:rsidR="00157ED3">
        <w:t>.</w:t>
      </w:r>
    </w:p>
    <w:p w14:paraId="4224C0BA" w14:textId="0AA19D70" w:rsidR="004376B3" w:rsidRDefault="00241D84" w:rsidP="00145432">
      <w:r>
        <w:t xml:space="preserve">MSAC noted </w:t>
      </w:r>
      <w:r w:rsidR="00225D3F">
        <w:t>that</w:t>
      </w:r>
      <w:r w:rsidR="00225D3F" w:rsidRPr="11FAFD31">
        <w:rPr>
          <w:color w:val="FF0000"/>
        </w:rPr>
        <w:t xml:space="preserve"> </w:t>
      </w:r>
      <w:r w:rsidRPr="003E0D0F">
        <w:t xml:space="preserve">PBAC recommended </w:t>
      </w:r>
      <w:r w:rsidR="002D1EC0" w:rsidRPr="003E0D0F">
        <w:t xml:space="preserve">the </w:t>
      </w:r>
      <w:r w:rsidR="00B82C95" w:rsidRPr="003E0D0F">
        <w:t xml:space="preserve">proposed PBS </w:t>
      </w:r>
      <w:r w:rsidR="002D1EC0" w:rsidRPr="003E0D0F">
        <w:t xml:space="preserve">listing of olaparib </w:t>
      </w:r>
      <w:r w:rsidR="00B82C95" w:rsidRPr="003E0D0F">
        <w:t>at its July 2024 meeting.</w:t>
      </w:r>
      <w:r w:rsidR="00145432">
        <w:t xml:space="preserve"> </w:t>
      </w:r>
      <w:r w:rsidR="000E798E">
        <w:t xml:space="preserve">MSAC </w:t>
      </w:r>
      <w:r w:rsidR="00A55F22">
        <w:t xml:space="preserve">recalled it </w:t>
      </w:r>
      <w:r w:rsidR="00C24150">
        <w:t xml:space="preserve">had recently supported </w:t>
      </w:r>
      <w:r w:rsidR="0072517D">
        <w:t xml:space="preserve">the amendment </w:t>
      </w:r>
      <w:r w:rsidR="002B400D">
        <w:t xml:space="preserve">of </w:t>
      </w:r>
      <w:r w:rsidR="004603B4">
        <w:t xml:space="preserve">existing </w:t>
      </w:r>
      <w:r w:rsidR="00CA37C8">
        <w:t xml:space="preserve">MBS item </w:t>
      </w:r>
      <w:r w:rsidR="00607078">
        <w:t>73295</w:t>
      </w:r>
      <w:r w:rsidR="00095D78">
        <w:t xml:space="preserve"> to detect </w:t>
      </w:r>
      <w:r w:rsidR="00F721CA" w:rsidRPr="11FAFD31">
        <w:rPr>
          <w:i/>
          <w:iCs/>
        </w:rPr>
        <w:t>gB</w:t>
      </w:r>
      <w:r w:rsidR="007A6798" w:rsidRPr="11FAFD31">
        <w:rPr>
          <w:i/>
          <w:iCs/>
        </w:rPr>
        <w:t>RCA</w:t>
      </w:r>
      <w:r w:rsidR="00832F87" w:rsidRPr="11FAFD31">
        <w:rPr>
          <w:i/>
          <w:iCs/>
        </w:rPr>
        <w:t xml:space="preserve"> </w:t>
      </w:r>
      <w:r w:rsidR="00832F87">
        <w:t xml:space="preserve">pathogenic or likely pathogenic </w:t>
      </w:r>
      <w:r w:rsidR="002F4268">
        <w:t xml:space="preserve">variants to determine eligibility </w:t>
      </w:r>
      <w:r w:rsidR="000E0FE4">
        <w:t xml:space="preserve">for access to </w:t>
      </w:r>
      <w:r w:rsidR="00BE43A0">
        <w:t xml:space="preserve">PBS-subsidised </w:t>
      </w:r>
      <w:r w:rsidR="00D027E1">
        <w:t xml:space="preserve">olaparib in patients </w:t>
      </w:r>
      <w:r w:rsidR="00093528">
        <w:t xml:space="preserve">with </w:t>
      </w:r>
      <w:r w:rsidR="00482710">
        <w:t xml:space="preserve">hormone </w:t>
      </w:r>
      <w:r w:rsidR="00E109EE">
        <w:t>receptor po</w:t>
      </w:r>
      <w:r w:rsidR="004C5820">
        <w:t>sitive</w:t>
      </w:r>
      <w:r w:rsidR="00A91055">
        <w:t>, HER2-negative hi</w:t>
      </w:r>
      <w:r w:rsidR="002E7576">
        <w:t>gh</w:t>
      </w:r>
      <w:r w:rsidR="004B49CA">
        <w:t>-</w:t>
      </w:r>
      <w:r w:rsidR="002E7576">
        <w:t xml:space="preserve">risk early breast cancer or triple negative </w:t>
      </w:r>
      <w:r w:rsidR="005D2C92">
        <w:t xml:space="preserve">early </w:t>
      </w:r>
      <w:r w:rsidR="002E7576">
        <w:t>breast cancer (November 2023 MSAC meeting)</w:t>
      </w:r>
      <w:r w:rsidR="0028595A">
        <w:t xml:space="preserve">. </w:t>
      </w:r>
      <w:r w:rsidR="006F78C1">
        <w:t xml:space="preserve">MSAC noted the </w:t>
      </w:r>
      <w:r w:rsidR="00FF1D91">
        <w:t xml:space="preserve">amendment </w:t>
      </w:r>
      <w:r w:rsidR="007606C2">
        <w:t>was effective from</w:t>
      </w:r>
      <w:r w:rsidR="002D688E">
        <w:t xml:space="preserve"> </w:t>
      </w:r>
      <w:r w:rsidR="00A10F54">
        <w:t xml:space="preserve">1 July 2024. </w:t>
      </w:r>
      <w:r w:rsidR="00920E30">
        <w:t>MSAC</w:t>
      </w:r>
      <w:r w:rsidR="00511F32">
        <w:t xml:space="preserve"> </w:t>
      </w:r>
      <w:r w:rsidR="000E798E">
        <w:t xml:space="preserve">noted </w:t>
      </w:r>
      <w:r w:rsidR="0093673B">
        <w:t xml:space="preserve">that </w:t>
      </w:r>
      <w:r w:rsidR="004376B3">
        <w:t xml:space="preserve">MBS item 73295 </w:t>
      </w:r>
      <w:r w:rsidR="00075AB0">
        <w:t xml:space="preserve">also </w:t>
      </w:r>
      <w:r w:rsidR="004376B3">
        <w:t>supports</w:t>
      </w:r>
      <w:r w:rsidR="002914D5">
        <w:t xml:space="preserve"> germline</w:t>
      </w:r>
      <w:r w:rsidR="004376B3">
        <w:t xml:space="preserve"> </w:t>
      </w:r>
      <w:r w:rsidR="004376B3" w:rsidRPr="11FAFD31">
        <w:rPr>
          <w:i/>
          <w:iCs/>
        </w:rPr>
        <w:t>BRCA1</w:t>
      </w:r>
      <w:r w:rsidR="004376B3">
        <w:t xml:space="preserve"> and </w:t>
      </w:r>
      <w:r w:rsidR="004376B3" w:rsidRPr="11FAFD31">
        <w:rPr>
          <w:i/>
          <w:iCs/>
        </w:rPr>
        <w:t>BRCA2</w:t>
      </w:r>
      <w:r w:rsidR="004376B3">
        <w:t xml:space="preserve"> </w:t>
      </w:r>
      <w:r w:rsidR="00214F52">
        <w:t xml:space="preserve">variant </w:t>
      </w:r>
      <w:r w:rsidR="004376B3">
        <w:t xml:space="preserve">testing to determine eligibility for treatment with </w:t>
      </w:r>
      <w:r w:rsidR="00214F52">
        <w:t xml:space="preserve">a </w:t>
      </w:r>
      <w:r w:rsidR="004376B3">
        <w:t xml:space="preserve">poly </w:t>
      </w:r>
      <w:r w:rsidR="00B4448A">
        <w:t>(</w:t>
      </w:r>
      <w:r w:rsidR="004376B3">
        <w:t xml:space="preserve">adenosine diphosphate </w:t>
      </w:r>
      <w:r w:rsidR="00B4448A">
        <w:t>[</w:t>
      </w:r>
      <w:r w:rsidR="004376B3">
        <w:t>ADP</w:t>
      </w:r>
      <w:r w:rsidR="00B4448A">
        <w:t>]</w:t>
      </w:r>
      <w:r w:rsidR="004376B3">
        <w:t>-ribose</w:t>
      </w:r>
      <w:r w:rsidR="00B4448A">
        <w:t>)</w:t>
      </w:r>
      <w:r w:rsidR="004376B3">
        <w:t xml:space="preserve"> polymerase (PARP) inhibitor</w:t>
      </w:r>
      <w:r w:rsidR="00582B2E">
        <w:t xml:space="preserve"> under the PBS, in patients with ovarian, fallopian tube or primary</w:t>
      </w:r>
      <w:r w:rsidR="000C7221">
        <w:t xml:space="preserve"> peritoneal cancer for whom testing of tumour tissue is not feasible.</w:t>
      </w:r>
    </w:p>
    <w:p w14:paraId="3FBB93EE" w14:textId="0EE88E23" w:rsidR="004376B3" w:rsidRDefault="004376B3" w:rsidP="004376B3">
      <w:pPr>
        <w:rPr>
          <w:color w:val="000000" w:themeColor="text1"/>
        </w:rPr>
      </w:pPr>
      <w:r>
        <w:rPr>
          <w:bCs/>
        </w:rPr>
        <w:t xml:space="preserve">MSAC noted that </w:t>
      </w:r>
      <w:r w:rsidR="000D5D15" w:rsidRPr="00147A0A">
        <w:rPr>
          <w:bCs/>
        </w:rPr>
        <w:t>the Medical Oncology Group of Australia</w:t>
      </w:r>
      <w:r w:rsidR="000D5D15">
        <w:rPr>
          <w:bCs/>
        </w:rPr>
        <w:t xml:space="preserve"> provided</w:t>
      </w:r>
      <w:r w:rsidR="000D5D15" w:rsidRPr="00147A0A">
        <w:rPr>
          <w:bCs/>
        </w:rPr>
        <w:t xml:space="preserve"> </w:t>
      </w:r>
      <w:r w:rsidR="00937C35">
        <w:rPr>
          <w:bCs/>
        </w:rPr>
        <w:t xml:space="preserve">positive </w:t>
      </w:r>
      <w:r>
        <w:rPr>
          <w:bCs/>
        </w:rPr>
        <w:t>feedback on</w:t>
      </w:r>
      <w:r w:rsidRPr="00147A0A">
        <w:rPr>
          <w:bCs/>
        </w:rPr>
        <w:t xml:space="preserve"> the application</w:t>
      </w:r>
      <w:r w:rsidR="0013551B">
        <w:rPr>
          <w:bCs/>
        </w:rPr>
        <w:t xml:space="preserve"> citing</w:t>
      </w:r>
      <w:r w:rsidR="00B82586">
        <w:rPr>
          <w:bCs/>
        </w:rPr>
        <w:t xml:space="preserve"> </w:t>
      </w:r>
      <w:r w:rsidR="00300498" w:rsidRPr="00300498">
        <w:rPr>
          <w:bCs/>
        </w:rPr>
        <w:t>benefits outweigh</w:t>
      </w:r>
      <w:r w:rsidR="000B4CF0">
        <w:rPr>
          <w:bCs/>
        </w:rPr>
        <w:t>ed</w:t>
      </w:r>
      <w:r w:rsidR="00300498" w:rsidRPr="00300498">
        <w:rPr>
          <w:bCs/>
        </w:rPr>
        <w:t xml:space="preserve"> the risks</w:t>
      </w:r>
      <w:r w:rsidR="000C7979">
        <w:rPr>
          <w:bCs/>
        </w:rPr>
        <w:t xml:space="preserve"> associated with </w:t>
      </w:r>
      <w:r w:rsidR="001A79E9">
        <w:rPr>
          <w:bCs/>
        </w:rPr>
        <w:t xml:space="preserve">the </w:t>
      </w:r>
      <w:r w:rsidR="000C7979">
        <w:rPr>
          <w:bCs/>
        </w:rPr>
        <w:t>testing</w:t>
      </w:r>
      <w:r>
        <w:rPr>
          <w:bCs/>
        </w:rPr>
        <w:t xml:space="preserve">. MSAC also noted that Medex Consulting provided input on this application as part of the consultation on the </w:t>
      </w:r>
      <w:r w:rsidR="00C75BB6">
        <w:rPr>
          <w:bCs/>
        </w:rPr>
        <w:t xml:space="preserve">codependent </w:t>
      </w:r>
      <w:r>
        <w:rPr>
          <w:bCs/>
        </w:rPr>
        <w:t>PBAC submission.</w:t>
      </w:r>
    </w:p>
    <w:p w14:paraId="28446951" w14:textId="26FB39E3" w:rsidR="00AC72AF" w:rsidRDefault="002D3A20" w:rsidP="00393C3F">
      <w:pPr>
        <w:rPr>
          <w:lang w:val="en-US"/>
        </w:rPr>
      </w:pPr>
      <w:r>
        <w:rPr>
          <w:lang w:val="en-US"/>
        </w:rPr>
        <w:t xml:space="preserve">MSAC noted </w:t>
      </w:r>
      <w:r w:rsidR="00767287">
        <w:rPr>
          <w:lang w:val="en-US"/>
        </w:rPr>
        <w:t xml:space="preserve">the </w:t>
      </w:r>
      <w:r w:rsidR="0087101C">
        <w:rPr>
          <w:lang w:val="en-US"/>
        </w:rPr>
        <w:t>annual incidence of new</w:t>
      </w:r>
      <w:r w:rsidR="00767287">
        <w:rPr>
          <w:lang w:val="en-US"/>
        </w:rPr>
        <w:t xml:space="preserve"> patients with breast cancer</w:t>
      </w:r>
      <w:r w:rsidR="009B06E4">
        <w:rPr>
          <w:lang w:val="en-US"/>
        </w:rPr>
        <w:t xml:space="preserve"> in Australia</w:t>
      </w:r>
      <w:r w:rsidR="0014346E">
        <w:rPr>
          <w:lang w:val="en-US"/>
        </w:rPr>
        <w:t xml:space="preserve"> and the various estimates</w:t>
      </w:r>
      <w:r w:rsidR="009E778E">
        <w:rPr>
          <w:lang w:val="en-US"/>
        </w:rPr>
        <w:t xml:space="preserve"> </w:t>
      </w:r>
      <w:r w:rsidR="00CB54A9">
        <w:rPr>
          <w:lang w:val="en-US"/>
        </w:rPr>
        <w:t xml:space="preserve">used </w:t>
      </w:r>
      <w:r w:rsidR="008044B3">
        <w:rPr>
          <w:lang w:val="en-US"/>
        </w:rPr>
        <w:t xml:space="preserve">to determine </w:t>
      </w:r>
      <w:r w:rsidR="009E778E">
        <w:rPr>
          <w:lang w:val="en-US"/>
        </w:rPr>
        <w:t>the eligible patients with</w:t>
      </w:r>
      <w:r w:rsidR="008D281F">
        <w:rPr>
          <w:lang w:val="en-US"/>
        </w:rPr>
        <w:t xml:space="preserve"> metastatic </w:t>
      </w:r>
      <w:r w:rsidR="009E778E">
        <w:rPr>
          <w:lang w:val="en-US"/>
        </w:rPr>
        <w:t>breast cancer</w:t>
      </w:r>
      <w:r w:rsidR="00FE7B6B">
        <w:rPr>
          <w:lang w:val="en-US"/>
        </w:rPr>
        <w:t xml:space="preserve">. </w:t>
      </w:r>
      <w:r w:rsidR="00887213">
        <w:rPr>
          <w:lang w:val="en-US"/>
        </w:rPr>
        <w:t>Furthermore, MSAC noted the m</w:t>
      </w:r>
      <w:r w:rsidR="00887213" w:rsidRPr="00CC0BC3">
        <w:rPr>
          <w:lang w:val="en-US"/>
        </w:rPr>
        <w:t xml:space="preserve">edian </w:t>
      </w:r>
      <w:r w:rsidR="00887213">
        <w:rPr>
          <w:lang w:val="en-US"/>
        </w:rPr>
        <w:t xml:space="preserve">overall survival of </w:t>
      </w:r>
      <w:r w:rsidR="00966A2B">
        <w:rPr>
          <w:lang w:val="en-US"/>
        </w:rPr>
        <w:t xml:space="preserve">patients with </w:t>
      </w:r>
      <w:r w:rsidR="00887213">
        <w:rPr>
          <w:lang w:val="en-US"/>
        </w:rPr>
        <w:t xml:space="preserve">metastatic breast cancer. </w:t>
      </w:r>
      <w:r w:rsidR="00FE7B6B">
        <w:rPr>
          <w:lang w:val="en-US"/>
        </w:rPr>
        <w:t>MSAC</w:t>
      </w:r>
      <w:r w:rsidR="00C54C60">
        <w:rPr>
          <w:lang w:val="en-US"/>
        </w:rPr>
        <w:t xml:space="preserve"> </w:t>
      </w:r>
      <w:r w:rsidR="004E3971">
        <w:rPr>
          <w:lang w:val="en-US"/>
        </w:rPr>
        <w:t>considered</w:t>
      </w:r>
      <w:r w:rsidR="00FE7B6B">
        <w:rPr>
          <w:lang w:val="en-US"/>
        </w:rPr>
        <w:t xml:space="preserve"> </w:t>
      </w:r>
      <w:r w:rsidR="00B730AA">
        <w:rPr>
          <w:lang w:val="en-US"/>
        </w:rPr>
        <w:t xml:space="preserve">despite </w:t>
      </w:r>
      <w:r w:rsidR="00347A34">
        <w:rPr>
          <w:lang w:val="en-US"/>
        </w:rPr>
        <w:t>the availability of various treatment</w:t>
      </w:r>
      <w:r w:rsidR="0006158F">
        <w:rPr>
          <w:lang w:val="en-US"/>
        </w:rPr>
        <w:t xml:space="preserve"> options,</w:t>
      </w:r>
      <w:r w:rsidR="00FE7B6B">
        <w:rPr>
          <w:lang w:val="en-US"/>
        </w:rPr>
        <w:t xml:space="preserve"> metastatic breast cancer </w:t>
      </w:r>
      <w:r w:rsidR="000A4EEE">
        <w:rPr>
          <w:lang w:val="en-US"/>
        </w:rPr>
        <w:t xml:space="preserve">remains </w:t>
      </w:r>
      <w:r w:rsidR="007E7CA2">
        <w:rPr>
          <w:lang w:val="en-US"/>
        </w:rPr>
        <w:t xml:space="preserve">an </w:t>
      </w:r>
      <w:r w:rsidR="002F1336" w:rsidRPr="002F1336">
        <w:rPr>
          <w:lang w:val="en-US"/>
        </w:rPr>
        <w:t>incurabl</w:t>
      </w:r>
      <w:r w:rsidR="00AB0FF9">
        <w:rPr>
          <w:lang w:val="en-US"/>
        </w:rPr>
        <w:t>e</w:t>
      </w:r>
      <w:r w:rsidR="007E7CA2">
        <w:rPr>
          <w:lang w:val="en-US"/>
        </w:rPr>
        <w:t xml:space="preserve"> </w:t>
      </w:r>
      <w:r w:rsidR="00E468CF">
        <w:rPr>
          <w:lang w:val="en-US"/>
        </w:rPr>
        <w:t>condition</w:t>
      </w:r>
      <w:r w:rsidR="00513E14">
        <w:rPr>
          <w:lang w:val="en-US"/>
        </w:rPr>
        <w:t>.</w:t>
      </w:r>
    </w:p>
    <w:p w14:paraId="4BF120CD" w14:textId="0125ECD4" w:rsidR="0079251C" w:rsidRDefault="004F11D3" w:rsidP="00393C3F">
      <w:pPr>
        <w:rPr>
          <w:shd w:val="clear" w:color="auto" w:fill="FFFFFF"/>
          <w:lang w:val="en-US"/>
        </w:rPr>
      </w:pPr>
      <w:r>
        <w:rPr>
          <w:lang w:val="en-US"/>
        </w:rPr>
        <w:t>MS</w:t>
      </w:r>
      <w:r w:rsidR="00FC52CE" w:rsidRPr="00144224">
        <w:rPr>
          <w:rFonts w:cs="Arial"/>
          <w:shd w:val="clear" w:color="auto" w:fill="FFFFFF"/>
        </w:rPr>
        <w:t xml:space="preserve">AC noted that </w:t>
      </w:r>
      <w:r w:rsidR="00BD1F96" w:rsidRPr="00144224">
        <w:rPr>
          <w:rFonts w:cs="Arial"/>
          <w:shd w:val="clear" w:color="auto" w:fill="FFFFFF"/>
        </w:rPr>
        <w:t xml:space="preserve">the </w:t>
      </w:r>
      <w:r w:rsidR="00ED31AE" w:rsidRPr="00144224">
        <w:rPr>
          <w:rFonts w:cs="Arial"/>
          <w:shd w:val="clear" w:color="auto" w:fill="FFFFFF"/>
        </w:rPr>
        <w:t xml:space="preserve">main </w:t>
      </w:r>
      <w:r w:rsidR="00BD1F96" w:rsidRPr="00144224">
        <w:rPr>
          <w:rFonts w:cs="Arial"/>
          <w:shd w:val="clear" w:color="auto" w:fill="FFFFFF"/>
        </w:rPr>
        <w:t xml:space="preserve">subtypes </w:t>
      </w:r>
      <w:r w:rsidR="00ED31AE" w:rsidRPr="00144224">
        <w:rPr>
          <w:rFonts w:cs="Arial"/>
          <w:shd w:val="clear" w:color="auto" w:fill="FFFFFF"/>
        </w:rPr>
        <w:t>of</w:t>
      </w:r>
      <w:r w:rsidR="00BD1F96" w:rsidRPr="00144224">
        <w:rPr>
          <w:rFonts w:cs="Arial"/>
          <w:shd w:val="clear" w:color="auto" w:fill="FFFFFF"/>
        </w:rPr>
        <w:t xml:space="preserve"> breast </w:t>
      </w:r>
      <w:r w:rsidR="00B427DE" w:rsidRPr="00144224">
        <w:rPr>
          <w:rFonts w:cs="Arial"/>
          <w:shd w:val="clear" w:color="auto" w:fill="FFFFFF"/>
        </w:rPr>
        <w:t>cancer</w:t>
      </w:r>
      <w:r w:rsidR="004E6BF4">
        <w:rPr>
          <w:rFonts w:cs="Arial"/>
          <w:shd w:val="clear" w:color="auto" w:fill="FFFFFF"/>
        </w:rPr>
        <w:t>, classified by</w:t>
      </w:r>
      <w:r w:rsidR="00AF3989" w:rsidRPr="00144224">
        <w:rPr>
          <w:rFonts w:cs="Arial"/>
          <w:shd w:val="clear" w:color="auto" w:fill="FFFFFF"/>
        </w:rPr>
        <w:t xml:space="preserve"> </w:t>
      </w:r>
      <w:r w:rsidR="00CA587E" w:rsidRPr="00144224">
        <w:rPr>
          <w:rFonts w:cs="Arial"/>
          <w:shd w:val="clear" w:color="auto" w:fill="FFFFFF"/>
        </w:rPr>
        <w:t>receptor</w:t>
      </w:r>
      <w:r w:rsidR="00CF198F">
        <w:rPr>
          <w:rFonts w:cs="Arial"/>
          <w:shd w:val="clear" w:color="auto" w:fill="FFFFFF"/>
        </w:rPr>
        <w:t xml:space="preserve"> </w:t>
      </w:r>
      <w:r w:rsidR="00CA587E" w:rsidRPr="00144224">
        <w:rPr>
          <w:rFonts w:cs="Arial"/>
          <w:shd w:val="clear" w:color="auto" w:fill="FFFFFF"/>
        </w:rPr>
        <w:t>s</w:t>
      </w:r>
      <w:r w:rsidR="00CF198F">
        <w:rPr>
          <w:rFonts w:cs="Arial"/>
          <w:shd w:val="clear" w:color="auto" w:fill="FFFFFF"/>
        </w:rPr>
        <w:t>tatus</w:t>
      </w:r>
      <w:r w:rsidR="002E7DA2">
        <w:rPr>
          <w:rFonts w:cs="Arial"/>
          <w:shd w:val="clear" w:color="auto" w:fill="FFFFFF"/>
        </w:rPr>
        <w:t>,</w:t>
      </w:r>
      <w:r w:rsidR="006A2905" w:rsidRPr="00144224">
        <w:rPr>
          <w:rFonts w:cs="Arial"/>
          <w:shd w:val="clear" w:color="auto" w:fill="FFFFFF"/>
        </w:rPr>
        <w:t xml:space="preserve"> </w:t>
      </w:r>
      <w:r w:rsidR="001D5D8E">
        <w:rPr>
          <w:rFonts w:cs="Arial"/>
          <w:shd w:val="clear" w:color="auto" w:fill="FFFFFF"/>
        </w:rPr>
        <w:t>was</w:t>
      </w:r>
      <w:r w:rsidR="002E7DA2">
        <w:rPr>
          <w:rFonts w:cs="Arial"/>
          <w:shd w:val="clear" w:color="auto" w:fill="FFFFFF"/>
        </w:rPr>
        <w:t xml:space="preserve"> critical for </w:t>
      </w:r>
      <w:r w:rsidR="004B2CB9" w:rsidRPr="00144224">
        <w:rPr>
          <w:rFonts w:cs="Arial"/>
          <w:shd w:val="clear" w:color="auto" w:fill="FFFFFF"/>
        </w:rPr>
        <w:t>guid</w:t>
      </w:r>
      <w:r w:rsidR="001312A7">
        <w:rPr>
          <w:rFonts w:cs="Arial"/>
          <w:shd w:val="clear" w:color="auto" w:fill="FFFFFF"/>
        </w:rPr>
        <w:t>ing</w:t>
      </w:r>
      <w:r w:rsidR="004B2CB9" w:rsidRPr="00144224">
        <w:rPr>
          <w:rFonts w:cs="Arial"/>
          <w:shd w:val="clear" w:color="auto" w:fill="FFFFFF"/>
        </w:rPr>
        <w:t xml:space="preserve"> treatment decisions</w:t>
      </w:r>
      <w:r w:rsidR="004B2CB9">
        <w:rPr>
          <w:rFonts w:cs="Arial"/>
          <w:color w:val="4D5156"/>
          <w:shd w:val="clear" w:color="auto" w:fill="FFFFFF"/>
        </w:rPr>
        <w:t>.</w:t>
      </w:r>
      <w:r w:rsidR="00CA587E">
        <w:rPr>
          <w:rFonts w:cs="Arial"/>
          <w:color w:val="4D5156"/>
          <w:shd w:val="clear" w:color="auto" w:fill="FFFFFF"/>
        </w:rPr>
        <w:t xml:space="preserve"> </w:t>
      </w:r>
      <w:r w:rsidR="0079251C">
        <w:rPr>
          <w:shd w:val="clear" w:color="auto" w:fill="FFFFFF"/>
        </w:rPr>
        <w:t xml:space="preserve">MSAC noted </w:t>
      </w:r>
      <w:r w:rsidR="00EE3574">
        <w:rPr>
          <w:shd w:val="clear" w:color="auto" w:fill="FFFFFF"/>
        </w:rPr>
        <w:t xml:space="preserve">that </w:t>
      </w:r>
      <w:r w:rsidR="00EE3574" w:rsidRPr="00144224">
        <w:rPr>
          <w:i/>
          <w:iCs/>
          <w:shd w:val="clear" w:color="auto" w:fill="FFFFFF"/>
        </w:rPr>
        <w:t>BRCA</w:t>
      </w:r>
      <w:r w:rsidR="0084361A">
        <w:rPr>
          <w:i/>
          <w:iCs/>
          <w:shd w:val="clear" w:color="auto" w:fill="FFFFFF"/>
        </w:rPr>
        <w:t xml:space="preserve"> </w:t>
      </w:r>
      <w:r w:rsidR="00EE3574" w:rsidRPr="00144224">
        <w:rPr>
          <w:i/>
          <w:iCs/>
          <w:shd w:val="clear" w:color="auto" w:fill="FFFFFF"/>
        </w:rPr>
        <w:t xml:space="preserve">1 </w:t>
      </w:r>
      <w:r w:rsidR="00EE3574">
        <w:rPr>
          <w:shd w:val="clear" w:color="auto" w:fill="FFFFFF"/>
        </w:rPr>
        <w:t xml:space="preserve">and </w:t>
      </w:r>
      <w:r w:rsidR="00EE3574" w:rsidRPr="00144224">
        <w:rPr>
          <w:i/>
          <w:iCs/>
          <w:shd w:val="clear" w:color="auto" w:fill="FFFFFF"/>
        </w:rPr>
        <w:t>2</w:t>
      </w:r>
      <w:r w:rsidR="00EE3574">
        <w:rPr>
          <w:shd w:val="clear" w:color="auto" w:fill="FFFFFF"/>
        </w:rPr>
        <w:t xml:space="preserve"> genes are important in DNA repairs and </w:t>
      </w:r>
      <w:r w:rsidR="002848EA">
        <w:rPr>
          <w:shd w:val="clear" w:color="auto" w:fill="FFFFFF"/>
        </w:rPr>
        <w:t xml:space="preserve">the </w:t>
      </w:r>
      <w:r w:rsidR="007F5BE9">
        <w:rPr>
          <w:shd w:val="clear" w:color="auto" w:fill="FFFFFF"/>
        </w:rPr>
        <w:t xml:space="preserve">presence of </w:t>
      </w:r>
      <w:r w:rsidR="00EE3574">
        <w:rPr>
          <w:shd w:val="clear" w:color="auto" w:fill="FFFFFF"/>
        </w:rPr>
        <w:t>pathogenic or likely pathogenic</w:t>
      </w:r>
      <w:r w:rsidR="00B146C9">
        <w:rPr>
          <w:shd w:val="clear" w:color="auto" w:fill="FFFFFF"/>
        </w:rPr>
        <w:t xml:space="preserve"> variants </w:t>
      </w:r>
      <w:r w:rsidR="007F5BE9">
        <w:rPr>
          <w:shd w:val="clear" w:color="auto" w:fill="FFFFFF"/>
        </w:rPr>
        <w:t xml:space="preserve">in these genes </w:t>
      </w:r>
      <w:r w:rsidR="00B146C9">
        <w:rPr>
          <w:shd w:val="clear" w:color="auto" w:fill="FFFFFF"/>
        </w:rPr>
        <w:t>result</w:t>
      </w:r>
      <w:r w:rsidR="00E32343">
        <w:rPr>
          <w:shd w:val="clear" w:color="auto" w:fill="FFFFFF"/>
        </w:rPr>
        <w:t>ed</w:t>
      </w:r>
      <w:r w:rsidR="00B146C9">
        <w:rPr>
          <w:shd w:val="clear" w:color="auto" w:fill="FFFFFF"/>
        </w:rPr>
        <w:t xml:space="preserve"> in higher risk of developing </w:t>
      </w:r>
      <w:r w:rsidR="00B46317">
        <w:rPr>
          <w:shd w:val="clear" w:color="auto" w:fill="FFFFFF"/>
        </w:rPr>
        <w:t>breast as well as ovarian, prostate</w:t>
      </w:r>
      <w:r w:rsidR="005E7119">
        <w:rPr>
          <w:shd w:val="clear" w:color="auto" w:fill="FFFFFF"/>
        </w:rPr>
        <w:t xml:space="preserve"> and</w:t>
      </w:r>
      <w:r w:rsidR="00B46317">
        <w:rPr>
          <w:shd w:val="clear" w:color="auto" w:fill="FFFFFF"/>
        </w:rPr>
        <w:t xml:space="preserve"> pancrea</w:t>
      </w:r>
      <w:r w:rsidR="005E7119">
        <w:rPr>
          <w:shd w:val="clear" w:color="auto" w:fill="FFFFFF"/>
        </w:rPr>
        <w:t>tic</w:t>
      </w:r>
      <w:r w:rsidR="00B46317">
        <w:rPr>
          <w:shd w:val="clear" w:color="auto" w:fill="FFFFFF"/>
        </w:rPr>
        <w:t xml:space="preserve"> cancers.</w:t>
      </w:r>
      <w:r w:rsidR="00EE3574">
        <w:rPr>
          <w:shd w:val="clear" w:color="auto" w:fill="FFFFFF"/>
        </w:rPr>
        <w:t xml:space="preserve"> </w:t>
      </w:r>
      <w:r w:rsidR="00B52E2E">
        <w:rPr>
          <w:shd w:val="clear" w:color="auto" w:fill="FFFFFF"/>
        </w:rPr>
        <w:t xml:space="preserve">MSAC noted that </w:t>
      </w:r>
      <w:r w:rsidR="00C93F4F">
        <w:rPr>
          <w:shd w:val="clear" w:color="auto" w:fill="FFFFFF"/>
        </w:rPr>
        <w:t xml:space="preserve">cancer cells with </w:t>
      </w:r>
      <w:r w:rsidR="00B52E2E" w:rsidRPr="00144224">
        <w:rPr>
          <w:i/>
          <w:iCs/>
          <w:shd w:val="clear" w:color="auto" w:fill="FFFFFF"/>
        </w:rPr>
        <w:t>BRCA1/2</w:t>
      </w:r>
      <w:r w:rsidR="00B52E2E" w:rsidRPr="00B52E2E">
        <w:rPr>
          <w:shd w:val="clear" w:color="auto" w:fill="FFFFFF"/>
        </w:rPr>
        <w:t xml:space="preserve"> </w:t>
      </w:r>
      <w:r w:rsidR="00E32AB8">
        <w:rPr>
          <w:shd w:val="clear" w:color="auto" w:fill="FFFFFF"/>
        </w:rPr>
        <w:t xml:space="preserve">variants </w:t>
      </w:r>
      <w:r w:rsidR="00094EA5">
        <w:rPr>
          <w:shd w:val="clear" w:color="auto" w:fill="FFFFFF"/>
        </w:rPr>
        <w:t>a</w:t>
      </w:r>
      <w:r w:rsidR="00B52E2E" w:rsidRPr="00B52E2E">
        <w:rPr>
          <w:shd w:val="clear" w:color="auto" w:fill="FFFFFF"/>
        </w:rPr>
        <w:t xml:space="preserve">re more sensitive to PARP inhibitors </w:t>
      </w:r>
      <w:r w:rsidR="00BD1AEC" w:rsidRPr="00BD1AEC">
        <w:rPr>
          <w:shd w:val="clear" w:color="auto" w:fill="FFFFFF"/>
          <w:lang w:val="en-US"/>
        </w:rPr>
        <w:t>which exploit defects in DNA repair</w:t>
      </w:r>
      <w:r w:rsidR="005E0B61">
        <w:rPr>
          <w:shd w:val="clear" w:color="auto" w:fill="FFFFFF"/>
          <w:lang w:val="en-US"/>
        </w:rPr>
        <w:t xml:space="preserve"> caused by the </w:t>
      </w:r>
      <w:r w:rsidR="006322FF">
        <w:rPr>
          <w:shd w:val="clear" w:color="auto" w:fill="FFFFFF"/>
          <w:lang w:val="en-US"/>
        </w:rPr>
        <w:t>variants.</w:t>
      </w:r>
      <w:r w:rsidR="003F012B">
        <w:rPr>
          <w:shd w:val="clear" w:color="auto" w:fill="FFFFFF"/>
          <w:lang w:val="en-US"/>
        </w:rPr>
        <w:t xml:space="preserve"> Therefore</w:t>
      </w:r>
      <w:r w:rsidR="005858B5">
        <w:rPr>
          <w:shd w:val="clear" w:color="auto" w:fill="FFFFFF"/>
          <w:lang w:val="en-US"/>
        </w:rPr>
        <w:t>,</w:t>
      </w:r>
      <w:r w:rsidR="003F012B">
        <w:rPr>
          <w:shd w:val="clear" w:color="auto" w:fill="FFFFFF"/>
          <w:lang w:val="en-US"/>
        </w:rPr>
        <w:t xml:space="preserve"> MSAC considered </w:t>
      </w:r>
      <w:r w:rsidR="003F012B" w:rsidRPr="00144224">
        <w:rPr>
          <w:i/>
          <w:iCs/>
          <w:shd w:val="clear" w:color="auto" w:fill="FFFFFF"/>
          <w:lang w:val="en-US"/>
        </w:rPr>
        <w:t>BRCA</w:t>
      </w:r>
      <w:r w:rsidR="003F012B">
        <w:rPr>
          <w:shd w:val="clear" w:color="auto" w:fill="FFFFFF"/>
          <w:lang w:val="en-US"/>
        </w:rPr>
        <w:t xml:space="preserve"> testing was important </w:t>
      </w:r>
      <w:r w:rsidR="00BA309B" w:rsidRPr="00BA309B">
        <w:rPr>
          <w:shd w:val="clear" w:color="auto" w:fill="FFFFFF"/>
          <w:lang w:val="en-US"/>
        </w:rPr>
        <w:t>to identify patients at high risk of developing</w:t>
      </w:r>
      <w:r w:rsidR="00BA309B">
        <w:rPr>
          <w:shd w:val="clear" w:color="auto" w:fill="FFFFFF"/>
          <w:lang w:val="en-US"/>
        </w:rPr>
        <w:t xml:space="preserve"> these cancers to</w:t>
      </w:r>
      <w:r w:rsidR="00BA309B" w:rsidRPr="00BA309B">
        <w:rPr>
          <w:shd w:val="clear" w:color="auto" w:fill="FFFFFF"/>
          <w:lang w:val="en-US"/>
        </w:rPr>
        <w:t xml:space="preserve"> allow monitoring and prophylactic treatment decision</w:t>
      </w:r>
      <w:r w:rsidR="00BA309B">
        <w:rPr>
          <w:shd w:val="clear" w:color="auto" w:fill="FFFFFF"/>
          <w:lang w:val="en-US"/>
        </w:rPr>
        <w:t xml:space="preserve"> ma</w:t>
      </w:r>
      <w:r w:rsidR="009B126F">
        <w:rPr>
          <w:shd w:val="clear" w:color="auto" w:fill="FFFFFF"/>
          <w:lang w:val="en-US"/>
        </w:rPr>
        <w:t>k</w:t>
      </w:r>
      <w:r w:rsidR="00BA309B">
        <w:rPr>
          <w:shd w:val="clear" w:color="auto" w:fill="FFFFFF"/>
          <w:lang w:val="en-US"/>
        </w:rPr>
        <w:t>ing</w:t>
      </w:r>
      <w:r w:rsidR="00E66957">
        <w:rPr>
          <w:shd w:val="clear" w:color="auto" w:fill="FFFFFF"/>
          <w:lang w:val="en-US"/>
        </w:rPr>
        <w:t xml:space="preserve"> such as determining eligibility</w:t>
      </w:r>
      <w:r w:rsidR="00085157">
        <w:rPr>
          <w:shd w:val="clear" w:color="auto" w:fill="FFFFFF"/>
          <w:lang w:val="en-US"/>
        </w:rPr>
        <w:t xml:space="preserve"> for access to relevant </w:t>
      </w:r>
      <w:r w:rsidR="4BB51202">
        <w:rPr>
          <w:shd w:val="clear" w:color="auto" w:fill="FFFFFF"/>
          <w:lang w:val="en-US"/>
        </w:rPr>
        <w:t>therapies</w:t>
      </w:r>
      <w:r w:rsidR="00085157">
        <w:rPr>
          <w:shd w:val="clear" w:color="auto" w:fill="FFFFFF"/>
          <w:lang w:val="en-US"/>
        </w:rPr>
        <w:t>.</w:t>
      </w:r>
      <w:r w:rsidR="009B126F" w:rsidRPr="003129B1">
        <w:t xml:space="preserve"> </w:t>
      </w:r>
      <w:r w:rsidR="003129B1">
        <w:t>MS</w:t>
      </w:r>
      <w:r w:rsidR="004200AC">
        <w:t>A</w:t>
      </w:r>
      <w:r w:rsidR="003129B1">
        <w:t xml:space="preserve">C noted that </w:t>
      </w:r>
      <w:r w:rsidR="003129B1" w:rsidRPr="00144224">
        <w:rPr>
          <w:i/>
          <w:iCs/>
          <w:shd w:val="clear" w:color="auto" w:fill="FFFFFF"/>
          <w:lang w:val="en-US"/>
        </w:rPr>
        <w:t>BRCA</w:t>
      </w:r>
      <w:r w:rsidR="003129B1" w:rsidRPr="003129B1">
        <w:rPr>
          <w:shd w:val="clear" w:color="auto" w:fill="FFFFFF"/>
          <w:lang w:val="en-US"/>
        </w:rPr>
        <w:t xml:space="preserve"> testing </w:t>
      </w:r>
      <w:r w:rsidR="00F71878">
        <w:rPr>
          <w:shd w:val="clear" w:color="auto" w:fill="FFFFFF"/>
          <w:lang w:val="en-US"/>
        </w:rPr>
        <w:t>is</w:t>
      </w:r>
      <w:r w:rsidR="003129B1" w:rsidRPr="003129B1">
        <w:rPr>
          <w:shd w:val="clear" w:color="auto" w:fill="FFFFFF"/>
          <w:lang w:val="en-US"/>
        </w:rPr>
        <w:t xml:space="preserve"> also useful </w:t>
      </w:r>
      <w:r w:rsidR="00B5560E">
        <w:rPr>
          <w:shd w:val="clear" w:color="auto" w:fill="FFFFFF"/>
          <w:lang w:val="en-US"/>
        </w:rPr>
        <w:t>in</w:t>
      </w:r>
      <w:r w:rsidR="003129B1" w:rsidRPr="003129B1">
        <w:rPr>
          <w:shd w:val="clear" w:color="auto" w:fill="FFFFFF"/>
          <w:lang w:val="en-US"/>
        </w:rPr>
        <w:t xml:space="preserve"> determin</w:t>
      </w:r>
      <w:r w:rsidR="00B5560E">
        <w:rPr>
          <w:shd w:val="clear" w:color="auto" w:fill="FFFFFF"/>
          <w:lang w:val="en-US"/>
        </w:rPr>
        <w:t>ing</w:t>
      </w:r>
      <w:r w:rsidR="003129B1" w:rsidRPr="003129B1">
        <w:rPr>
          <w:shd w:val="clear" w:color="auto" w:fill="FFFFFF"/>
          <w:lang w:val="en-US"/>
        </w:rPr>
        <w:t xml:space="preserve"> </w:t>
      </w:r>
      <w:r w:rsidR="003D690D">
        <w:rPr>
          <w:shd w:val="clear" w:color="auto" w:fill="FFFFFF"/>
          <w:lang w:val="en-US"/>
        </w:rPr>
        <w:t xml:space="preserve">sensitivity to </w:t>
      </w:r>
      <w:r w:rsidR="00F71878">
        <w:rPr>
          <w:shd w:val="clear" w:color="auto" w:fill="FFFFFF"/>
          <w:lang w:val="en-US"/>
        </w:rPr>
        <w:t>c</w:t>
      </w:r>
      <w:r w:rsidR="003129B1" w:rsidRPr="003129B1">
        <w:rPr>
          <w:shd w:val="clear" w:color="auto" w:fill="FFFFFF"/>
          <w:lang w:val="en-US"/>
        </w:rPr>
        <w:t>arboplatin chemo</w:t>
      </w:r>
      <w:r w:rsidR="00F71878">
        <w:rPr>
          <w:shd w:val="clear" w:color="auto" w:fill="FFFFFF"/>
          <w:lang w:val="en-US"/>
        </w:rPr>
        <w:t>therapy</w:t>
      </w:r>
      <w:r w:rsidR="003D690D">
        <w:rPr>
          <w:shd w:val="clear" w:color="auto" w:fill="FFFFFF"/>
          <w:lang w:val="en-US"/>
        </w:rPr>
        <w:t>.</w:t>
      </w:r>
    </w:p>
    <w:p w14:paraId="5A5A7457" w14:textId="53EC0772" w:rsidR="008E730E" w:rsidRDefault="00985E70" w:rsidP="008E730E">
      <w:pPr>
        <w:rPr>
          <w:lang w:val="en-US"/>
        </w:rPr>
      </w:pPr>
      <w:r>
        <w:rPr>
          <w:lang w:val="en-US"/>
        </w:rPr>
        <w:t xml:space="preserve">MSAC noted that </w:t>
      </w:r>
      <w:r w:rsidR="00A45E32">
        <w:rPr>
          <w:lang w:val="en-US"/>
        </w:rPr>
        <w:t>g</w:t>
      </w:r>
      <w:r w:rsidR="00A45E32" w:rsidRPr="00144224">
        <w:rPr>
          <w:i/>
          <w:iCs/>
          <w:lang w:val="en-US"/>
        </w:rPr>
        <w:t>BRCA</w:t>
      </w:r>
      <w:r w:rsidR="00A45E32">
        <w:rPr>
          <w:lang w:val="en-US"/>
        </w:rPr>
        <w:t xml:space="preserve"> </w:t>
      </w:r>
      <w:r w:rsidR="00A45E32" w:rsidRPr="001B4C69">
        <w:rPr>
          <w:rStyle w:val="normaltextrun"/>
          <w:rFonts w:cs="Segoe UI"/>
        </w:rPr>
        <w:t xml:space="preserve">genetic testing </w:t>
      </w:r>
      <w:r w:rsidR="006D5E05">
        <w:rPr>
          <w:rStyle w:val="normaltextrun"/>
          <w:rFonts w:cs="Segoe UI"/>
        </w:rPr>
        <w:t>wa</w:t>
      </w:r>
      <w:r w:rsidR="00A45E32" w:rsidRPr="001B4C69">
        <w:rPr>
          <w:rStyle w:val="normaltextrun"/>
          <w:rFonts w:cs="Segoe UI"/>
        </w:rPr>
        <w:t xml:space="preserve">s already well established in Australia. </w:t>
      </w:r>
      <w:r w:rsidR="008E730E">
        <w:rPr>
          <w:lang w:val="en-US"/>
        </w:rPr>
        <w:t>MSAC noted that s</w:t>
      </w:r>
      <w:r w:rsidR="008E730E" w:rsidRPr="00871228">
        <w:rPr>
          <w:lang w:val="en-US"/>
        </w:rPr>
        <w:t>afety and effectiveness ha</w:t>
      </w:r>
      <w:r w:rsidR="00B17AC0">
        <w:rPr>
          <w:lang w:val="en-US"/>
        </w:rPr>
        <w:t>d</w:t>
      </w:r>
      <w:r w:rsidR="008E730E" w:rsidRPr="00871228">
        <w:rPr>
          <w:lang w:val="en-US"/>
        </w:rPr>
        <w:t xml:space="preserve"> been addressed in previous g</w:t>
      </w:r>
      <w:r w:rsidR="008E730E" w:rsidRPr="00F13131">
        <w:rPr>
          <w:i/>
          <w:iCs/>
          <w:lang w:val="en-US"/>
        </w:rPr>
        <w:t>BRCA</w:t>
      </w:r>
      <w:r w:rsidR="008E730E" w:rsidRPr="00871228">
        <w:rPr>
          <w:lang w:val="en-US"/>
        </w:rPr>
        <w:t xml:space="preserve"> testing submissions</w:t>
      </w:r>
      <w:r w:rsidR="008E730E">
        <w:rPr>
          <w:lang w:val="en-US"/>
        </w:rPr>
        <w:t xml:space="preserve"> and that </w:t>
      </w:r>
      <w:r w:rsidR="008E730E" w:rsidRPr="00871228">
        <w:rPr>
          <w:lang w:val="en-US"/>
        </w:rPr>
        <w:t xml:space="preserve">MSAC </w:t>
      </w:r>
      <w:r w:rsidR="008E730E">
        <w:rPr>
          <w:lang w:val="en-US"/>
        </w:rPr>
        <w:t>considered</w:t>
      </w:r>
      <w:r w:rsidR="008E730E" w:rsidRPr="00871228">
        <w:rPr>
          <w:lang w:val="en-US"/>
        </w:rPr>
        <w:t xml:space="preserve"> g</w:t>
      </w:r>
      <w:r w:rsidR="008E730E" w:rsidRPr="00F13131">
        <w:rPr>
          <w:i/>
          <w:iCs/>
          <w:lang w:val="en-US"/>
        </w:rPr>
        <w:t>BRCA</w:t>
      </w:r>
      <w:r w:rsidR="008E730E" w:rsidRPr="00871228">
        <w:rPr>
          <w:lang w:val="en-US"/>
        </w:rPr>
        <w:t xml:space="preserve"> testing to be safe and effective</w:t>
      </w:r>
      <w:r w:rsidR="008E730E">
        <w:rPr>
          <w:lang w:val="en-US"/>
        </w:rPr>
        <w:t>.</w:t>
      </w:r>
    </w:p>
    <w:p w14:paraId="586A0221" w14:textId="4BAA8A2F" w:rsidR="00B21578" w:rsidRDefault="004376B3" w:rsidP="00393C3F">
      <w:pPr>
        <w:rPr>
          <w:lang w:val="en-US"/>
        </w:rPr>
      </w:pPr>
      <w:r>
        <w:rPr>
          <w:lang w:val="en-US"/>
        </w:rPr>
        <w:t>MSAC agreed with the</w:t>
      </w:r>
      <w:r w:rsidRPr="00C76615">
        <w:rPr>
          <w:lang w:val="en-US"/>
        </w:rPr>
        <w:t xml:space="preserve"> </w:t>
      </w:r>
      <w:r w:rsidR="0053569D">
        <w:rPr>
          <w:lang w:val="en-US"/>
        </w:rPr>
        <w:t>d</w:t>
      </w:r>
      <w:r w:rsidRPr="00C76615">
        <w:rPr>
          <w:lang w:val="en-US"/>
        </w:rPr>
        <w:t>epartment</w:t>
      </w:r>
      <w:r>
        <w:rPr>
          <w:lang w:val="en-US"/>
        </w:rPr>
        <w:t xml:space="preserve">’s </w:t>
      </w:r>
      <w:r w:rsidRPr="00C76615">
        <w:rPr>
          <w:lang w:val="en-US"/>
        </w:rPr>
        <w:t xml:space="preserve">proposed </w:t>
      </w:r>
      <w:r>
        <w:rPr>
          <w:lang w:val="en-US"/>
        </w:rPr>
        <w:t xml:space="preserve">changes to the </w:t>
      </w:r>
      <w:r w:rsidR="00924B89">
        <w:rPr>
          <w:lang w:val="en-US"/>
        </w:rPr>
        <w:t xml:space="preserve">item </w:t>
      </w:r>
      <w:r w:rsidRPr="00C76615">
        <w:rPr>
          <w:lang w:val="en-US"/>
        </w:rPr>
        <w:t>descriptor</w:t>
      </w:r>
      <w:r w:rsidR="00A3044D">
        <w:rPr>
          <w:lang w:val="en-US"/>
        </w:rPr>
        <w:t xml:space="preserve"> of MBS 73295</w:t>
      </w:r>
      <w:r w:rsidR="00C22361">
        <w:rPr>
          <w:lang w:val="en-US"/>
        </w:rPr>
        <w:t xml:space="preserve"> (</w:t>
      </w:r>
      <w:r w:rsidR="00C22361">
        <w:rPr>
          <w:lang w:val="en-US"/>
        </w:rPr>
        <w:fldChar w:fldCharType="begin"/>
      </w:r>
      <w:r w:rsidR="00C22361">
        <w:rPr>
          <w:lang w:val="en-US"/>
        </w:rPr>
        <w:instrText xml:space="preserve"> REF _Ref174716608 \h </w:instrText>
      </w:r>
      <w:r w:rsidR="00C22361">
        <w:rPr>
          <w:lang w:val="en-US"/>
        </w:rPr>
      </w:r>
      <w:r w:rsidR="00C22361">
        <w:rPr>
          <w:lang w:val="en-US"/>
        </w:rPr>
        <w:fldChar w:fldCharType="separate"/>
      </w:r>
      <w:r w:rsidR="00325DE1">
        <w:t xml:space="preserve">Table </w:t>
      </w:r>
      <w:r w:rsidR="00325DE1">
        <w:rPr>
          <w:noProof/>
        </w:rPr>
        <w:t>1</w:t>
      </w:r>
      <w:r w:rsidR="00C22361">
        <w:rPr>
          <w:lang w:val="en-US"/>
        </w:rPr>
        <w:fldChar w:fldCharType="end"/>
      </w:r>
      <w:r w:rsidR="00C22361">
        <w:rPr>
          <w:lang w:val="en-US"/>
        </w:rPr>
        <w:t>)</w:t>
      </w:r>
      <w:r w:rsidR="003B75CF">
        <w:rPr>
          <w:lang w:val="en-US"/>
        </w:rPr>
        <w:t>.</w:t>
      </w:r>
      <w:r>
        <w:rPr>
          <w:lang w:val="en-US"/>
        </w:rPr>
        <w:t xml:space="preserve"> </w:t>
      </w:r>
      <w:r w:rsidR="003B75CF">
        <w:rPr>
          <w:lang w:val="en-US"/>
        </w:rPr>
        <w:t xml:space="preserve">MSAC </w:t>
      </w:r>
      <w:r w:rsidR="006E65FC">
        <w:rPr>
          <w:lang w:val="en-US"/>
        </w:rPr>
        <w:t xml:space="preserve">also </w:t>
      </w:r>
      <w:r w:rsidR="001C36CC">
        <w:rPr>
          <w:lang w:val="en-US"/>
        </w:rPr>
        <w:t xml:space="preserve">supported </w:t>
      </w:r>
      <w:r w:rsidR="00C54A72">
        <w:t>the</w:t>
      </w:r>
      <w:r>
        <w:t xml:space="preserve"> </w:t>
      </w:r>
      <w:r w:rsidR="003D22B7">
        <w:t xml:space="preserve">suggested </w:t>
      </w:r>
      <w:r>
        <w:t xml:space="preserve">change </w:t>
      </w:r>
      <w:r>
        <w:rPr>
          <w:bCs/>
        </w:rPr>
        <w:t>to</w:t>
      </w:r>
      <w:r w:rsidRPr="00DC2D7E">
        <w:rPr>
          <w:bCs/>
        </w:rPr>
        <w:t xml:space="preserve"> </w:t>
      </w:r>
      <w:r>
        <w:rPr>
          <w:bCs/>
        </w:rPr>
        <w:t>E</w:t>
      </w:r>
      <w:r w:rsidRPr="00DC2D7E">
        <w:rPr>
          <w:bCs/>
        </w:rPr>
        <w:t xml:space="preserve">xplanatory </w:t>
      </w:r>
      <w:r>
        <w:rPr>
          <w:bCs/>
        </w:rPr>
        <w:t>N</w:t>
      </w:r>
      <w:r w:rsidRPr="00DC2D7E">
        <w:rPr>
          <w:bCs/>
        </w:rPr>
        <w:t xml:space="preserve">ote </w:t>
      </w:r>
      <w:r>
        <w:rPr>
          <w:bCs/>
        </w:rPr>
        <w:t xml:space="preserve">PN.0.23, </w:t>
      </w:r>
      <w:r w:rsidR="0053569D">
        <w:rPr>
          <w:bCs/>
        </w:rPr>
        <w:t>to</w:t>
      </w:r>
      <w:r>
        <w:rPr>
          <w:bCs/>
        </w:rPr>
        <w:t xml:space="preserve"> </w:t>
      </w:r>
      <w:r w:rsidR="0053569D">
        <w:rPr>
          <w:bCs/>
        </w:rPr>
        <w:t xml:space="preserve">include </w:t>
      </w:r>
      <w:r w:rsidR="006E65FC">
        <w:rPr>
          <w:bCs/>
        </w:rPr>
        <w:t>‘</w:t>
      </w:r>
      <w:r w:rsidR="004E7DDA">
        <w:rPr>
          <w:bCs/>
        </w:rPr>
        <w:t>N</w:t>
      </w:r>
      <w:r w:rsidR="003B75CF">
        <w:rPr>
          <w:bCs/>
        </w:rPr>
        <w:t xml:space="preserve">ote should be taken of </w:t>
      </w:r>
      <w:r w:rsidR="0053569D" w:rsidRPr="0053569D">
        <w:rPr>
          <w:bCs/>
        </w:rPr>
        <w:t>any relevant personal or family history that might indicate a cancer predisposition syndrome and influence the scope of germline testing that is requested</w:t>
      </w:r>
      <w:r w:rsidR="006E65FC">
        <w:rPr>
          <w:bCs/>
        </w:rPr>
        <w:t>’</w:t>
      </w:r>
      <w:r w:rsidR="00063135">
        <w:rPr>
          <w:bCs/>
        </w:rPr>
        <w:t>.</w:t>
      </w:r>
      <w:r w:rsidR="00235F94">
        <w:rPr>
          <w:bCs/>
        </w:rPr>
        <w:t xml:space="preserve"> MSAC noted the intent of the addition of the sentence was to remind clini</w:t>
      </w:r>
      <w:r w:rsidR="00D05FFA">
        <w:rPr>
          <w:bCs/>
        </w:rPr>
        <w:t xml:space="preserve">cians that the most appropriate testing </w:t>
      </w:r>
      <w:r w:rsidR="008576F8">
        <w:rPr>
          <w:bCs/>
        </w:rPr>
        <w:t>requested should be based on both the clinical scenario and the family history.</w:t>
      </w:r>
    </w:p>
    <w:p w14:paraId="6D362093" w14:textId="47CD2C20" w:rsidR="004376B3" w:rsidRPr="00C76615" w:rsidRDefault="004376B3" w:rsidP="00161F44">
      <w:pPr>
        <w:rPr>
          <w:lang w:val="en-US"/>
        </w:rPr>
      </w:pPr>
      <w:r>
        <w:rPr>
          <w:lang w:val="en-US"/>
        </w:rPr>
        <w:t>MSAC noted that e</w:t>
      </w:r>
      <w:r w:rsidRPr="00C76615">
        <w:rPr>
          <w:lang w:val="en-US"/>
        </w:rPr>
        <w:t xml:space="preserve">xpanding the restriction </w:t>
      </w:r>
      <w:r w:rsidR="004E7DDA">
        <w:rPr>
          <w:lang w:val="en-US"/>
        </w:rPr>
        <w:t xml:space="preserve">to include all breast cancers </w:t>
      </w:r>
      <w:r w:rsidR="000A3CFE" w:rsidRPr="00C76615">
        <w:rPr>
          <w:lang w:val="en-US"/>
        </w:rPr>
        <w:t>w</w:t>
      </w:r>
      <w:r w:rsidR="000A3CFE">
        <w:rPr>
          <w:lang w:val="en-US"/>
        </w:rPr>
        <w:t>ould</w:t>
      </w:r>
      <w:r w:rsidR="000A3CFE" w:rsidRPr="00C76615">
        <w:rPr>
          <w:lang w:val="en-US"/>
        </w:rPr>
        <w:t xml:space="preserve"> </w:t>
      </w:r>
      <w:r w:rsidRPr="00C76615">
        <w:rPr>
          <w:lang w:val="en-US"/>
        </w:rPr>
        <w:t xml:space="preserve">encompass the populations proposed under </w:t>
      </w:r>
      <w:r w:rsidR="00EE2F52">
        <w:rPr>
          <w:lang w:val="en-US"/>
        </w:rPr>
        <w:t>the current a</w:t>
      </w:r>
      <w:r w:rsidRPr="00C76615">
        <w:rPr>
          <w:lang w:val="en-US"/>
        </w:rPr>
        <w:t xml:space="preserve">pplication </w:t>
      </w:r>
      <w:r w:rsidR="00DC620E">
        <w:rPr>
          <w:lang w:val="en-US"/>
        </w:rPr>
        <w:t xml:space="preserve">(mBC) </w:t>
      </w:r>
      <w:r w:rsidRPr="00C76615">
        <w:rPr>
          <w:lang w:val="en-US"/>
        </w:rPr>
        <w:t xml:space="preserve">and </w:t>
      </w:r>
      <w:r w:rsidR="00EE2F52">
        <w:rPr>
          <w:lang w:val="en-US"/>
        </w:rPr>
        <w:t xml:space="preserve">application </w:t>
      </w:r>
      <w:r w:rsidRPr="00C76615">
        <w:rPr>
          <w:lang w:val="en-US"/>
        </w:rPr>
        <w:t>1716.1</w:t>
      </w:r>
      <w:r w:rsidR="00DC63A1">
        <w:rPr>
          <w:lang w:val="en-US"/>
        </w:rPr>
        <w:t xml:space="preserve"> </w:t>
      </w:r>
      <w:r w:rsidR="00DC620E">
        <w:rPr>
          <w:lang w:val="en-US"/>
        </w:rPr>
        <w:t>(e</w:t>
      </w:r>
      <w:r w:rsidR="00237AC8">
        <w:rPr>
          <w:lang w:val="en-US"/>
        </w:rPr>
        <w:t xml:space="preserve">arly BC </w:t>
      </w:r>
      <w:r w:rsidR="00DC63A1">
        <w:rPr>
          <w:lang w:val="en-US"/>
        </w:rPr>
        <w:t xml:space="preserve">considered </w:t>
      </w:r>
      <w:r w:rsidR="00413834">
        <w:rPr>
          <w:lang w:val="en-US"/>
        </w:rPr>
        <w:t>in November 2023</w:t>
      </w:r>
      <w:r w:rsidR="00237AC8">
        <w:rPr>
          <w:lang w:val="en-US"/>
        </w:rPr>
        <w:t>)</w:t>
      </w:r>
      <w:r w:rsidRPr="00C76615">
        <w:rPr>
          <w:lang w:val="en-US"/>
        </w:rPr>
        <w:t xml:space="preserve">. This </w:t>
      </w:r>
      <w:r w:rsidR="000A3CFE">
        <w:rPr>
          <w:lang w:val="en-US"/>
        </w:rPr>
        <w:t xml:space="preserve">would </w:t>
      </w:r>
      <w:r w:rsidRPr="00C76615">
        <w:rPr>
          <w:lang w:val="en-US"/>
        </w:rPr>
        <w:t xml:space="preserve">uphold MSAC’s </w:t>
      </w:r>
      <w:r w:rsidR="00DA6399">
        <w:rPr>
          <w:lang w:val="en-US"/>
        </w:rPr>
        <w:t xml:space="preserve">previous </w:t>
      </w:r>
      <w:r w:rsidRPr="00C76615">
        <w:rPr>
          <w:lang w:val="en-US"/>
        </w:rPr>
        <w:t xml:space="preserve">advice under </w:t>
      </w:r>
      <w:r w:rsidR="000A3CFE">
        <w:rPr>
          <w:lang w:val="en-US"/>
        </w:rPr>
        <w:t>a</w:t>
      </w:r>
      <w:r w:rsidRPr="00C76615">
        <w:rPr>
          <w:lang w:val="en-US"/>
        </w:rPr>
        <w:t xml:space="preserve">pplication 1716.1 that it </w:t>
      </w:r>
      <w:r w:rsidR="00B223A0">
        <w:rPr>
          <w:lang w:val="en-US"/>
        </w:rPr>
        <w:t>wa</w:t>
      </w:r>
      <w:r w:rsidRPr="00C76615">
        <w:rPr>
          <w:lang w:val="en-US"/>
        </w:rPr>
        <w:t xml:space="preserve">s appropriate for the MBS test restriction to remain broader than the PBS treatment restriction, noting that aligning the </w:t>
      </w:r>
      <w:r w:rsidR="0033139C">
        <w:rPr>
          <w:lang w:val="en-US"/>
        </w:rPr>
        <w:t xml:space="preserve">MBS testing population and the PBS </w:t>
      </w:r>
      <w:r w:rsidR="00B60634">
        <w:rPr>
          <w:lang w:val="en-US"/>
        </w:rPr>
        <w:t xml:space="preserve">drug treatment population might </w:t>
      </w:r>
      <w:r w:rsidRPr="00C76615">
        <w:rPr>
          <w:lang w:val="en-US"/>
        </w:rPr>
        <w:t xml:space="preserve">lead to delay in </w:t>
      </w:r>
      <w:r w:rsidR="00EA5200">
        <w:rPr>
          <w:lang w:val="en-US"/>
        </w:rPr>
        <w:t>commencement</w:t>
      </w:r>
      <w:r w:rsidRPr="00C76615">
        <w:rPr>
          <w:lang w:val="en-US"/>
        </w:rPr>
        <w:t xml:space="preserve"> of treatment.</w:t>
      </w:r>
      <w:r w:rsidR="000C6F5A" w:rsidRPr="000C6F5A">
        <w:rPr>
          <w:rFonts w:cs="Segoe UI"/>
        </w:rPr>
        <w:t xml:space="preserve"> </w:t>
      </w:r>
      <w:r w:rsidR="000C6F5A" w:rsidRPr="001B4C69">
        <w:rPr>
          <w:rStyle w:val="normaltextrun"/>
          <w:rFonts w:cs="Segoe UI"/>
        </w:rPr>
        <w:t xml:space="preserve">MSAC considered timely access </w:t>
      </w:r>
      <w:r w:rsidR="000C6F5A" w:rsidRPr="001B4C69">
        <w:rPr>
          <w:rStyle w:val="normaltextrun"/>
          <w:rFonts w:cs="Segoe UI"/>
        </w:rPr>
        <w:lastRenderedPageBreak/>
        <w:t>to testing and treatment to be important for patients and recognised the need to future-proof item</w:t>
      </w:r>
      <w:r w:rsidR="000C6F5A">
        <w:rPr>
          <w:rStyle w:val="normaltextrun"/>
          <w:rFonts w:cs="Segoe UI"/>
        </w:rPr>
        <w:t>.</w:t>
      </w:r>
    </w:p>
    <w:p w14:paraId="04ABA1CD" w14:textId="2D968514" w:rsidR="00971945" w:rsidRPr="00971945" w:rsidRDefault="004376B3" w:rsidP="00971945">
      <w:pPr>
        <w:rPr>
          <w:lang w:val="en-US"/>
        </w:rPr>
      </w:pPr>
      <w:r>
        <w:rPr>
          <w:lang w:val="en-US"/>
        </w:rPr>
        <w:t>MSAC also noted that t</w:t>
      </w:r>
      <w:r w:rsidRPr="00C76615">
        <w:rPr>
          <w:lang w:val="en-US"/>
        </w:rPr>
        <w:t xml:space="preserve">he </w:t>
      </w:r>
      <w:r>
        <w:rPr>
          <w:lang w:val="en-US"/>
        </w:rPr>
        <w:t xml:space="preserve">proposed changes </w:t>
      </w:r>
      <w:r w:rsidRPr="00C76615">
        <w:rPr>
          <w:lang w:val="en-US"/>
        </w:rPr>
        <w:t>would future</w:t>
      </w:r>
      <w:r w:rsidR="00EA5200">
        <w:rPr>
          <w:lang w:val="en-US"/>
        </w:rPr>
        <w:t xml:space="preserve"> </w:t>
      </w:r>
      <w:r w:rsidRPr="00C76615">
        <w:rPr>
          <w:lang w:val="en-US"/>
        </w:rPr>
        <w:t xml:space="preserve">proof the item and ensure all breast cancer patients can access testing and treatment regardless </w:t>
      </w:r>
      <w:r w:rsidR="00256591">
        <w:rPr>
          <w:lang w:val="en-US"/>
        </w:rPr>
        <w:t xml:space="preserve">of the </w:t>
      </w:r>
      <w:r w:rsidR="00EA5200">
        <w:rPr>
          <w:lang w:val="en-US"/>
        </w:rPr>
        <w:t>sub</w:t>
      </w:r>
      <w:r w:rsidR="00971945">
        <w:rPr>
          <w:lang w:val="en-US"/>
        </w:rPr>
        <w:t xml:space="preserve">type </w:t>
      </w:r>
      <w:r w:rsidR="00040232">
        <w:rPr>
          <w:lang w:val="en-US"/>
        </w:rPr>
        <w:t xml:space="preserve">or stage </w:t>
      </w:r>
      <w:r w:rsidR="00971945">
        <w:rPr>
          <w:lang w:val="en-US"/>
        </w:rPr>
        <w:t>of</w:t>
      </w:r>
      <w:r w:rsidRPr="00C76615">
        <w:rPr>
          <w:lang w:val="en-US"/>
        </w:rPr>
        <w:t xml:space="preserve"> cancer. This approach </w:t>
      </w:r>
      <w:r w:rsidR="00E15098">
        <w:rPr>
          <w:lang w:val="en-US"/>
        </w:rPr>
        <w:t xml:space="preserve">would </w:t>
      </w:r>
      <w:r w:rsidRPr="00C76615">
        <w:rPr>
          <w:lang w:val="en-US"/>
        </w:rPr>
        <w:t xml:space="preserve">align with other </w:t>
      </w:r>
      <w:r w:rsidRPr="00F13131">
        <w:rPr>
          <w:i/>
          <w:iCs/>
          <w:lang w:val="en-US"/>
        </w:rPr>
        <w:t>BRCA</w:t>
      </w:r>
      <w:r w:rsidRPr="00C76615">
        <w:rPr>
          <w:lang w:val="en-US"/>
        </w:rPr>
        <w:t xml:space="preserve"> </w:t>
      </w:r>
      <w:r>
        <w:rPr>
          <w:lang w:val="en-US"/>
        </w:rPr>
        <w:t xml:space="preserve">testing </w:t>
      </w:r>
      <w:r w:rsidRPr="00C76615">
        <w:rPr>
          <w:lang w:val="en-US"/>
        </w:rPr>
        <w:t>items</w:t>
      </w:r>
      <w:r w:rsidR="00E15098">
        <w:rPr>
          <w:lang w:val="en-US"/>
        </w:rPr>
        <w:t xml:space="preserve"> on the MBS</w:t>
      </w:r>
      <w:r w:rsidRPr="00C76615">
        <w:rPr>
          <w:lang w:val="en-US"/>
        </w:rPr>
        <w:t>, including</w:t>
      </w:r>
      <w:r>
        <w:rPr>
          <w:lang w:val="en-US"/>
        </w:rPr>
        <w:t xml:space="preserve"> MBS item</w:t>
      </w:r>
      <w:r w:rsidRPr="00C76615">
        <w:rPr>
          <w:lang w:val="en-US"/>
        </w:rPr>
        <w:t xml:space="preserve"> 73296, which is open to patients with </w:t>
      </w:r>
      <w:r>
        <w:rPr>
          <w:lang w:val="en-US"/>
        </w:rPr>
        <w:t>“</w:t>
      </w:r>
      <w:r w:rsidRPr="00C76615">
        <w:rPr>
          <w:lang w:val="en-US"/>
        </w:rPr>
        <w:t>breast cancer</w:t>
      </w:r>
      <w:r>
        <w:rPr>
          <w:lang w:val="en-US"/>
        </w:rPr>
        <w:t>”</w:t>
      </w:r>
      <w:r w:rsidRPr="00C76615">
        <w:rPr>
          <w:lang w:val="en-US"/>
        </w:rPr>
        <w:t xml:space="preserve">. It also </w:t>
      </w:r>
      <w:r w:rsidR="001F1984">
        <w:rPr>
          <w:lang w:val="en-US"/>
        </w:rPr>
        <w:t xml:space="preserve">meant </w:t>
      </w:r>
      <w:r>
        <w:rPr>
          <w:lang w:val="en-US"/>
        </w:rPr>
        <w:t xml:space="preserve">that MBS </w:t>
      </w:r>
      <w:r w:rsidRPr="00C76615">
        <w:rPr>
          <w:lang w:val="en-US"/>
        </w:rPr>
        <w:t xml:space="preserve">item 73295 </w:t>
      </w:r>
      <w:r w:rsidR="00CB5943">
        <w:rPr>
          <w:lang w:val="en-US"/>
        </w:rPr>
        <w:t>would</w:t>
      </w:r>
      <w:r>
        <w:rPr>
          <w:lang w:val="en-US"/>
        </w:rPr>
        <w:t xml:space="preserve"> not</w:t>
      </w:r>
      <w:r w:rsidR="00CB5943">
        <w:rPr>
          <w:lang w:val="en-US"/>
        </w:rPr>
        <w:t xml:space="preserve"> be</w:t>
      </w:r>
      <w:r>
        <w:rPr>
          <w:lang w:val="en-US"/>
        </w:rPr>
        <w:t xml:space="preserve"> restricted </w:t>
      </w:r>
      <w:r w:rsidRPr="00C76615">
        <w:rPr>
          <w:lang w:val="en-US"/>
        </w:rPr>
        <w:t xml:space="preserve">to patients who have received chemotherapy or to patients with </w:t>
      </w:r>
      <w:r>
        <w:rPr>
          <w:lang w:val="en-US"/>
        </w:rPr>
        <w:t>“</w:t>
      </w:r>
      <w:r w:rsidRPr="00C76615">
        <w:rPr>
          <w:lang w:val="en-US"/>
        </w:rPr>
        <w:t>early</w:t>
      </w:r>
      <w:r>
        <w:rPr>
          <w:lang w:val="en-US"/>
        </w:rPr>
        <w:t>”</w:t>
      </w:r>
      <w:r w:rsidRPr="00C76615">
        <w:rPr>
          <w:lang w:val="en-US"/>
        </w:rPr>
        <w:t xml:space="preserve"> </w:t>
      </w:r>
      <w:r w:rsidR="5FB5E5A2" w:rsidRPr="04F31990">
        <w:rPr>
          <w:lang w:val="en-US"/>
        </w:rPr>
        <w:t>triple-negative breast cancer (</w:t>
      </w:r>
      <w:r w:rsidRPr="04F31990">
        <w:rPr>
          <w:lang w:val="en-US"/>
        </w:rPr>
        <w:t>TNBC</w:t>
      </w:r>
      <w:r w:rsidR="0CDB6C70" w:rsidRPr="04F31990">
        <w:rPr>
          <w:lang w:val="en-US"/>
        </w:rPr>
        <w:t>)</w:t>
      </w:r>
      <w:r w:rsidR="003F48FA" w:rsidRPr="04F31990">
        <w:rPr>
          <w:lang w:val="en-US"/>
        </w:rPr>
        <w:t>.</w:t>
      </w:r>
    </w:p>
    <w:p w14:paraId="3C0CF967" w14:textId="0DF6EB89" w:rsidR="004376B3" w:rsidRPr="00C76615" w:rsidRDefault="000C6F5A" w:rsidP="004376B3">
      <w:pPr>
        <w:rPr>
          <w:lang w:val="en-US"/>
        </w:rPr>
      </w:pPr>
      <w:r>
        <w:rPr>
          <w:lang w:val="en-US"/>
        </w:rPr>
        <w:t>MSAC agreed to</w:t>
      </w:r>
      <w:r w:rsidR="004376B3" w:rsidRPr="00C76615">
        <w:rPr>
          <w:lang w:val="en-US"/>
        </w:rPr>
        <w:t xml:space="preserve"> </w:t>
      </w:r>
      <w:r w:rsidR="00F220F1">
        <w:rPr>
          <w:lang w:val="en-US"/>
        </w:rPr>
        <w:t>amend wording for the item</w:t>
      </w:r>
      <w:r w:rsidR="00F220F1" w:rsidRPr="00F220F1">
        <w:rPr>
          <w:lang w:val="en-US"/>
        </w:rPr>
        <w:t xml:space="preserve"> for a broader purpose than proposed by the applicant, such that it support</w:t>
      </w:r>
      <w:r w:rsidR="004D2307">
        <w:rPr>
          <w:lang w:val="en-US"/>
        </w:rPr>
        <w:t xml:space="preserve">ed </w:t>
      </w:r>
      <w:r w:rsidR="00F220F1" w:rsidRPr="00F220F1">
        <w:rPr>
          <w:lang w:val="en-US"/>
        </w:rPr>
        <w:t xml:space="preserve">testing for </w:t>
      </w:r>
      <w:r w:rsidR="00040232">
        <w:rPr>
          <w:lang w:val="en-US"/>
        </w:rPr>
        <w:t>‘</w:t>
      </w:r>
      <w:r w:rsidR="00F220F1" w:rsidRPr="00F220F1">
        <w:rPr>
          <w:lang w:val="en-US"/>
        </w:rPr>
        <w:t>access to a relevant treatment on the PBS</w:t>
      </w:r>
      <w:r w:rsidR="00040232">
        <w:rPr>
          <w:lang w:val="en-US"/>
        </w:rPr>
        <w:t>’</w:t>
      </w:r>
      <w:r w:rsidR="00F220F1" w:rsidRPr="00F220F1">
        <w:rPr>
          <w:lang w:val="en-US"/>
        </w:rPr>
        <w:t xml:space="preserve">, rather than </w:t>
      </w:r>
      <w:r w:rsidR="00040232">
        <w:rPr>
          <w:lang w:val="en-US"/>
        </w:rPr>
        <w:t xml:space="preserve">a drug </w:t>
      </w:r>
      <w:r w:rsidR="004D2307">
        <w:rPr>
          <w:lang w:val="en-US"/>
        </w:rPr>
        <w:t>class</w:t>
      </w:r>
      <w:r w:rsidR="00040232">
        <w:rPr>
          <w:lang w:val="en-US"/>
        </w:rPr>
        <w:t>,</w:t>
      </w:r>
      <w:r w:rsidR="004D2307">
        <w:rPr>
          <w:lang w:val="en-US"/>
        </w:rPr>
        <w:t xml:space="preserve"> i.e., </w:t>
      </w:r>
      <w:r w:rsidR="00F220F1" w:rsidRPr="00F220F1">
        <w:rPr>
          <w:lang w:val="en-US"/>
        </w:rPr>
        <w:t xml:space="preserve">PARP inhibitor. </w:t>
      </w:r>
      <w:r w:rsidR="00254699">
        <w:rPr>
          <w:lang w:val="en-US"/>
        </w:rPr>
        <w:t>MSAC noted t</w:t>
      </w:r>
      <w:r w:rsidR="004376B3" w:rsidRPr="00C76615">
        <w:rPr>
          <w:lang w:val="en-US"/>
        </w:rPr>
        <w:t xml:space="preserve">his </w:t>
      </w:r>
      <w:r w:rsidR="00254699">
        <w:rPr>
          <w:lang w:val="en-US"/>
        </w:rPr>
        <w:t xml:space="preserve">supported </w:t>
      </w:r>
      <w:r w:rsidR="004376B3" w:rsidRPr="00C76615">
        <w:rPr>
          <w:lang w:val="en-US"/>
        </w:rPr>
        <w:t xml:space="preserve">wording </w:t>
      </w:r>
      <w:r w:rsidR="003E5EED">
        <w:rPr>
          <w:lang w:val="en-US"/>
        </w:rPr>
        <w:t>wa</w:t>
      </w:r>
      <w:r w:rsidR="004376B3" w:rsidRPr="00C76615">
        <w:rPr>
          <w:lang w:val="en-US"/>
        </w:rPr>
        <w:t>s consistent with the descriptor supported by MSAC in April 2024, under MSAC</w:t>
      </w:r>
      <w:r w:rsidR="004376B3">
        <w:rPr>
          <w:lang w:val="en-US"/>
        </w:rPr>
        <w:t xml:space="preserve"> Application</w:t>
      </w:r>
      <w:r w:rsidR="004376B3" w:rsidRPr="00C76615">
        <w:rPr>
          <w:lang w:val="en-US"/>
        </w:rPr>
        <w:t xml:space="preserve"> 1765 </w:t>
      </w:r>
      <w:r w:rsidR="004376B3">
        <w:rPr>
          <w:lang w:val="en-US"/>
        </w:rPr>
        <w:t>for the a</w:t>
      </w:r>
      <w:r w:rsidR="004376B3" w:rsidRPr="00C76615">
        <w:rPr>
          <w:lang w:val="en-US"/>
        </w:rPr>
        <w:t>mendment of MBS items 73303 and 73304 (</w:t>
      </w:r>
      <w:r w:rsidR="004376B3" w:rsidRPr="00F13131">
        <w:rPr>
          <w:i/>
          <w:iCs/>
          <w:lang w:val="en-US"/>
        </w:rPr>
        <w:t>BRCA1/2</w:t>
      </w:r>
      <w:r w:rsidR="004376B3" w:rsidRPr="00C76615">
        <w:rPr>
          <w:lang w:val="en-US"/>
        </w:rPr>
        <w:t xml:space="preserve"> </w:t>
      </w:r>
      <w:r w:rsidR="00F62D14">
        <w:rPr>
          <w:lang w:val="en-US"/>
        </w:rPr>
        <w:t>variant</w:t>
      </w:r>
      <w:r w:rsidR="004376B3" w:rsidRPr="00C76615">
        <w:rPr>
          <w:lang w:val="en-US"/>
        </w:rPr>
        <w:t xml:space="preserve"> testing in </w:t>
      </w:r>
      <w:r w:rsidR="009F657B">
        <w:rPr>
          <w:lang w:val="en-US"/>
        </w:rPr>
        <w:t xml:space="preserve">metastatic castration-resistant </w:t>
      </w:r>
      <w:r w:rsidR="004376B3" w:rsidRPr="00C76615">
        <w:rPr>
          <w:lang w:val="en-US"/>
        </w:rPr>
        <w:t xml:space="preserve">prostate cancer patients) to </w:t>
      </w:r>
      <w:r w:rsidR="00303F0B">
        <w:rPr>
          <w:lang w:val="en-US"/>
        </w:rPr>
        <w:t>determine</w:t>
      </w:r>
      <w:r w:rsidR="004376B3">
        <w:rPr>
          <w:lang w:val="en-US"/>
        </w:rPr>
        <w:t xml:space="preserve"> access to</w:t>
      </w:r>
      <w:r w:rsidR="004376B3" w:rsidRPr="00C76615">
        <w:rPr>
          <w:lang w:val="en-US"/>
        </w:rPr>
        <w:t xml:space="preserve"> talazoparib</w:t>
      </w:r>
      <w:r w:rsidR="00AF73F5">
        <w:rPr>
          <w:lang w:val="en-US"/>
        </w:rPr>
        <w:t>, another PARP inhibitor</w:t>
      </w:r>
      <w:r w:rsidR="004376B3" w:rsidRPr="00C76615">
        <w:rPr>
          <w:lang w:val="en-US"/>
        </w:rPr>
        <w:t>.</w:t>
      </w:r>
    </w:p>
    <w:p w14:paraId="5FD3146D" w14:textId="246E1133" w:rsidR="000168ED" w:rsidRDefault="00050B51" w:rsidP="000168ED">
      <w:r>
        <w:rPr>
          <w:bCs/>
        </w:rPr>
        <w:t xml:space="preserve">To address </w:t>
      </w:r>
      <w:r>
        <w:t xml:space="preserve">the </w:t>
      </w:r>
      <w:r w:rsidR="0095284C" w:rsidRPr="006E12DF">
        <w:t>concerns raised during consultation</w:t>
      </w:r>
      <w:r w:rsidR="0095284C">
        <w:t xml:space="preserve">, </w:t>
      </w:r>
      <w:r w:rsidR="004376B3">
        <w:t xml:space="preserve">MSAC </w:t>
      </w:r>
      <w:r w:rsidR="00BD5E3B">
        <w:t xml:space="preserve">agreed </w:t>
      </w:r>
      <w:r w:rsidR="006E12DF" w:rsidRPr="006E12DF">
        <w:t xml:space="preserve">to </w:t>
      </w:r>
      <w:r w:rsidR="006E12DF">
        <w:t xml:space="preserve">the </w:t>
      </w:r>
      <w:r w:rsidR="0095284C">
        <w:t>department</w:t>
      </w:r>
      <w:r>
        <w:t>’s</w:t>
      </w:r>
      <w:r w:rsidR="0095284C">
        <w:t xml:space="preserve"> </w:t>
      </w:r>
      <w:r w:rsidR="006E12DF" w:rsidRPr="006E12DF">
        <w:t xml:space="preserve">proposed amendments to </w:t>
      </w:r>
      <w:r w:rsidR="00435413">
        <w:t xml:space="preserve">MBS </w:t>
      </w:r>
      <w:r w:rsidR="006E12DF" w:rsidRPr="006E12DF">
        <w:t xml:space="preserve">items </w:t>
      </w:r>
      <w:r w:rsidR="00435413">
        <w:t xml:space="preserve">73296 and 73297 </w:t>
      </w:r>
      <w:r w:rsidR="006E12DF" w:rsidRPr="006E12DF">
        <w:t>to remove the gene lists from the item descriptors</w:t>
      </w:r>
      <w:r w:rsidR="00B33ADB">
        <w:t xml:space="preserve"> and include</w:t>
      </w:r>
      <w:r w:rsidR="00571B83">
        <w:t xml:space="preserve"> </w:t>
      </w:r>
      <w:r w:rsidR="001D148C">
        <w:t>‘</w:t>
      </w:r>
      <w:r w:rsidR="0095284C">
        <w:t>one or more other relevant genes</w:t>
      </w:r>
      <w:r w:rsidR="001D148C">
        <w:t xml:space="preserve">’ </w:t>
      </w:r>
      <w:r w:rsidR="00BA46D6">
        <w:t>(</w:t>
      </w:r>
      <w:r>
        <w:fldChar w:fldCharType="begin"/>
      </w:r>
      <w:r>
        <w:instrText xml:space="preserve"> REF _Ref174714341 \h </w:instrText>
      </w:r>
      <w:r>
        <w:fldChar w:fldCharType="separate"/>
      </w:r>
      <w:r>
        <w:t xml:space="preserve">Table </w:t>
      </w:r>
      <w:r>
        <w:rPr>
          <w:noProof/>
        </w:rPr>
        <w:t>2</w:t>
      </w:r>
      <w:r>
        <w:fldChar w:fldCharType="end"/>
      </w:r>
      <w:r w:rsidR="00BA46D6">
        <w:t>)</w:t>
      </w:r>
      <w:r w:rsidR="0095284C">
        <w:t xml:space="preserve">. </w:t>
      </w:r>
      <w:r w:rsidR="004376B3">
        <w:t>MSAC noted that this would future</w:t>
      </w:r>
      <w:r>
        <w:t xml:space="preserve"> </w:t>
      </w:r>
      <w:r w:rsidR="004376B3">
        <w:t xml:space="preserve">proof both items in the event of future gene list </w:t>
      </w:r>
      <w:r w:rsidR="00FE1B25">
        <w:t>changed</w:t>
      </w:r>
      <w:r w:rsidR="004376B3">
        <w:t>.</w:t>
      </w:r>
      <w:bookmarkStart w:id="3" w:name="_Ref174714341"/>
    </w:p>
    <w:p w14:paraId="437CEEF1" w14:textId="3367A7A9" w:rsidR="00657565" w:rsidRPr="00511597" w:rsidRDefault="00657565" w:rsidP="000168ED">
      <w:pPr>
        <w:rPr>
          <w:rFonts w:ascii="Arial Narrow" w:hAnsi="Arial Narrow"/>
          <w:b/>
          <w:bCs/>
          <w:sz w:val="20"/>
          <w:szCs w:val="20"/>
        </w:rPr>
      </w:pPr>
      <w:r w:rsidRPr="77099F32">
        <w:rPr>
          <w:rFonts w:ascii="Arial Narrow" w:hAnsi="Arial Narrow"/>
          <w:b/>
          <w:bCs/>
          <w:sz w:val="20"/>
          <w:szCs w:val="20"/>
        </w:rPr>
        <w:t xml:space="preserve">Table </w:t>
      </w:r>
      <w:r w:rsidRPr="77099F32">
        <w:rPr>
          <w:rFonts w:ascii="Arial Narrow" w:hAnsi="Arial Narrow"/>
          <w:b/>
          <w:bCs/>
          <w:sz w:val="20"/>
          <w:szCs w:val="20"/>
        </w:rPr>
        <w:fldChar w:fldCharType="begin"/>
      </w:r>
      <w:r w:rsidRPr="77099F32">
        <w:rPr>
          <w:rFonts w:ascii="Arial Narrow" w:hAnsi="Arial Narrow"/>
          <w:b/>
          <w:bCs/>
          <w:sz w:val="20"/>
          <w:szCs w:val="20"/>
        </w:rPr>
        <w:instrText xml:space="preserve"> SEQ Table \* ARABIC </w:instrText>
      </w:r>
      <w:r w:rsidRPr="77099F32">
        <w:rPr>
          <w:rFonts w:ascii="Arial Narrow" w:hAnsi="Arial Narrow"/>
          <w:b/>
          <w:bCs/>
          <w:sz w:val="20"/>
          <w:szCs w:val="20"/>
        </w:rPr>
        <w:fldChar w:fldCharType="separate"/>
      </w:r>
      <w:r w:rsidR="00325DE1" w:rsidRPr="77099F32">
        <w:rPr>
          <w:rFonts w:ascii="Arial Narrow" w:hAnsi="Arial Narrow"/>
          <w:b/>
          <w:bCs/>
          <w:noProof/>
          <w:sz w:val="20"/>
          <w:szCs w:val="20"/>
        </w:rPr>
        <w:t>2</w:t>
      </w:r>
      <w:r w:rsidRPr="77099F32">
        <w:rPr>
          <w:rFonts w:ascii="Arial Narrow" w:hAnsi="Arial Narrow"/>
          <w:b/>
          <w:bCs/>
          <w:sz w:val="20"/>
          <w:szCs w:val="20"/>
        </w:rPr>
        <w:fldChar w:fldCharType="end"/>
      </w:r>
      <w:bookmarkEnd w:id="3"/>
      <w:r w:rsidRPr="77099F32">
        <w:rPr>
          <w:rFonts w:ascii="Arial Narrow" w:hAnsi="Arial Narrow"/>
          <w:b/>
          <w:bCs/>
          <w:sz w:val="20"/>
          <w:szCs w:val="20"/>
        </w:rPr>
        <w:t xml:space="preserve"> </w:t>
      </w:r>
      <w:r w:rsidR="00BF0111" w:rsidRPr="77099F32">
        <w:rPr>
          <w:rFonts w:ascii="Arial Narrow" w:hAnsi="Arial Narrow"/>
          <w:b/>
          <w:bCs/>
          <w:sz w:val="20"/>
          <w:szCs w:val="20"/>
        </w:rPr>
        <w:t xml:space="preserve">Amended </w:t>
      </w:r>
      <w:r w:rsidR="009D7013" w:rsidRPr="77099F32">
        <w:rPr>
          <w:rFonts w:ascii="Arial Narrow" w:hAnsi="Arial Narrow"/>
          <w:b/>
          <w:bCs/>
          <w:sz w:val="20"/>
          <w:szCs w:val="20"/>
        </w:rPr>
        <w:t>i</w:t>
      </w:r>
      <w:r w:rsidR="00BF0111" w:rsidRPr="77099F32">
        <w:rPr>
          <w:rFonts w:ascii="Arial Narrow" w:hAnsi="Arial Narrow"/>
          <w:b/>
          <w:bCs/>
          <w:sz w:val="20"/>
          <w:szCs w:val="20"/>
        </w:rPr>
        <w:t>tem descriptor</w:t>
      </w:r>
      <w:r w:rsidR="000A2787" w:rsidRPr="77099F32">
        <w:rPr>
          <w:rFonts w:ascii="Arial Narrow" w:hAnsi="Arial Narrow"/>
          <w:b/>
          <w:bCs/>
          <w:sz w:val="20"/>
          <w:szCs w:val="20"/>
        </w:rPr>
        <w:t>s</w:t>
      </w:r>
      <w:r w:rsidR="00BF0111" w:rsidRPr="77099F32">
        <w:rPr>
          <w:rFonts w:ascii="Arial Narrow" w:hAnsi="Arial Narrow"/>
          <w:b/>
          <w:bCs/>
          <w:sz w:val="20"/>
          <w:szCs w:val="20"/>
        </w:rPr>
        <w:t xml:space="preserve"> </w:t>
      </w:r>
      <w:r w:rsidR="009D7013" w:rsidRPr="77099F32">
        <w:rPr>
          <w:rFonts w:ascii="Arial Narrow" w:hAnsi="Arial Narrow"/>
          <w:b/>
          <w:bCs/>
          <w:sz w:val="20"/>
          <w:szCs w:val="20"/>
        </w:rPr>
        <w:t xml:space="preserve">for MBS </w:t>
      </w:r>
      <w:r w:rsidR="00BF0111" w:rsidRPr="77099F32">
        <w:rPr>
          <w:rFonts w:ascii="Arial Narrow" w:hAnsi="Arial Narrow"/>
          <w:b/>
          <w:bCs/>
          <w:sz w:val="20"/>
          <w:szCs w:val="20"/>
        </w:rPr>
        <w:t xml:space="preserve">73296 </w:t>
      </w:r>
      <w:r w:rsidR="00684F08" w:rsidRPr="77099F32">
        <w:rPr>
          <w:rFonts w:ascii="Arial Narrow" w:hAnsi="Arial Narrow"/>
          <w:b/>
          <w:bCs/>
          <w:sz w:val="20"/>
          <w:szCs w:val="20"/>
        </w:rPr>
        <w:t xml:space="preserve">and 73297 </w:t>
      </w:r>
      <w:r w:rsidR="00BF0111" w:rsidRPr="77099F32">
        <w:rPr>
          <w:rFonts w:ascii="Arial Narrow" w:hAnsi="Arial Narrow"/>
          <w:b/>
          <w:bCs/>
          <w:sz w:val="20"/>
          <w:szCs w:val="20"/>
        </w:rPr>
        <w:t>supported by MSAC</w:t>
      </w:r>
    </w:p>
    <w:tbl>
      <w:tblPr>
        <w:tblW w:w="0" w:type="auto"/>
        <w:tblInd w:w="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010"/>
      </w:tblGrid>
      <w:tr w:rsidR="00B75FBF" w:rsidRPr="005E3371" w14:paraId="48EF5A34" w14:textId="77777777" w:rsidTr="00144224">
        <w:trPr>
          <w:cantSplit/>
        </w:trPr>
        <w:tc>
          <w:tcPr>
            <w:tcW w:w="9010" w:type="dxa"/>
            <w:tcBorders>
              <w:left w:val="single" w:sz="4" w:space="0" w:color="auto"/>
              <w:bottom w:val="single" w:sz="4" w:space="0" w:color="auto"/>
            </w:tcBorders>
            <w:vAlign w:val="center"/>
          </w:tcPr>
          <w:p w14:paraId="216C7D05" w14:textId="77777777" w:rsidR="00325AA5" w:rsidRPr="00B2243B" w:rsidRDefault="00325AA5" w:rsidP="0094713B">
            <w:pPr>
              <w:pStyle w:val="NormalWeb"/>
              <w:spacing w:before="120" w:beforeAutospacing="0" w:after="40" w:afterAutospacing="0"/>
              <w:ind w:left="720"/>
              <w:jc w:val="right"/>
              <w:rPr>
                <w:rFonts w:ascii="Arial Narrow" w:hAnsi="Arial Narrow"/>
                <w:sz w:val="20"/>
                <w:szCs w:val="20"/>
              </w:rPr>
            </w:pPr>
            <w:r w:rsidRPr="00B2243B">
              <w:rPr>
                <w:rFonts w:ascii="Arial Narrow" w:hAnsi="Arial Narrow"/>
                <w:b/>
                <w:bCs/>
                <w:sz w:val="20"/>
                <w:szCs w:val="20"/>
              </w:rPr>
              <w:t>Category 6 – Pathology Services</w:t>
            </w:r>
          </w:p>
          <w:p w14:paraId="4DC2E59B" w14:textId="23088677" w:rsidR="00B75FBF" w:rsidRPr="00B75FBF" w:rsidRDefault="00D83E71" w:rsidP="00144224">
            <w:pPr>
              <w:spacing w:after="40" w:line="240" w:lineRule="auto"/>
              <w:ind w:left="720"/>
              <w:jc w:val="right"/>
              <w:textAlignment w:val="baseline"/>
              <w:rPr>
                <w:rFonts w:ascii="Arial Narrow" w:hAnsi="Arial Narrow" w:cs="Segoe UI"/>
                <w:b/>
                <w:bCs/>
                <w:sz w:val="20"/>
                <w:szCs w:val="20"/>
                <w:lang w:eastAsia="en-AU"/>
              </w:rPr>
            </w:pPr>
            <w:r w:rsidRPr="00920C03">
              <w:rPr>
                <w:rFonts w:ascii="Arial Narrow" w:hAnsi="Arial Narrow" w:cs="Segoe UI"/>
                <w:b/>
                <w:bCs/>
                <w:sz w:val="20"/>
                <w:szCs w:val="20"/>
                <w:lang w:eastAsia="en-AU"/>
              </w:rPr>
              <w:t>Group P7 – Genetics</w:t>
            </w:r>
          </w:p>
        </w:tc>
      </w:tr>
      <w:tr w:rsidR="004376B3" w:rsidRPr="005E3371" w14:paraId="042AF975" w14:textId="77777777" w:rsidTr="00144224">
        <w:trPr>
          <w:cantSplit/>
        </w:trPr>
        <w:tc>
          <w:tcPr>
            <w:tcW w:w="9010" w:type="dxa"/>
            <w:tcBorders>
              <w:left w:val="single" w:sz="4" w:space="0" w:color="auto"/>
              <w:bottom w:val="single" w:sz="4" w:space="0" w:color="auto"/>
            </w:tcBorders>
          </w:tcPr>
          <w:p w14:paraId="1C696009" w14:textId="77777777" w:rsidR="004376B3" w:rsidRPr="00144224" w:rsidRDefault="004376B3" w:rsidP="00144224">
            <w:pPr>
              <w:spacing w:after="40" w:line="240" w:lineRule="auto"/>
              <w:textAlignment w:val="baseline"/>
              <w:rPr>
                <w:rFonts w:ascii="Arial Narrow" w:hAnsi="Arial Narrow" w:cs="Segoe UI"/>
                <w:b/>
                <w:bCs/>
                <w:sz w:val="20"/>
                <w:szCs w:val="20"/>
                <w:lang w:eastAsia="en-AU"/>
              </w:rPr>
            </w:pPr>
            <w:r w:rsidRPr="00144224">
              <w:rPr>
                <w:rFonts w:ascii="Arial Narrow" w:hAnsi="Arial Narrow" w:cs="Segoe UI"/>
                <w:b/>
                <w:bCs/>
                <w:sz w:val="20"/>
                <w:szCs w:val="20"/>
                <w:lang w:eastAsia="en-AU"/>
              </w:rPr>
              <w:t>MBS item 73296</w:t>
            </w:r>
          </w:p>
          <w:p w14:paraId="1195F358" w14:textId="77777777" w:rsidR="004376B3" w:rsidRPr="00144224" w:rsidRDefault="004376B3" w:rsidP="00144224">
            <w:pPr>
              <w:spacing w:after="40" w:line="240" w:lineRule="auto"/>
              <w:textAlignment w:val="baseline"/>
              <w:rPr>
                <w:rFonts w:ascii="Arial Narrow" w:hAnsi="Arial Narrow" w:cs="Segoe UI"/>
                <w:sz w:val="20"/>
                <w:szCs w:val="20"/>
                <w:lang w:eastAsia="en-AU"/>
              </w:rPr>
            </w:pPr>
            <w:r w:rsidRPr="00144224">
              <w:rPr>
                <w:rFonts w:ascii="Arial Narrow" w:hAnsi="Arial Narrow" w:cs="Segoe UI"/>
                <w:sz w:val="20"/>
                <w:szCs w:val="20"/>
                <w:lang w:eastAsia="en-AU"/>
              </w:rPr>
              <w:t>Characterisation of germline gene variants, including copy number variation where appropriate, requested by a specialist or consultant physician:</w:t>
            </w:r>
          </w:p>
          <w:p w14:paraId="40A521AE" w14:textId="77777777" w:rsidR="004376B3" w:rsidRPr="00144224" w:rsidRDefault="004376B3" w:rsidP="00144224">
            <w:pPr>
              <w:pStyle w:val="ListParagraph"/>
              <w:numPr>
                <w:ilvl w:val="0"/>
                <w:numId w:val="35"/>
              </w:numPr>
              <w:spacing w:after="40" w:line="240" w:lineRule="auto"/>
              <w:textAlignment w:val="baseline"/>
              <w:rPr>
                <w:rFonts w:ascii="Arial Narrow" w:hAnsi="Arial Narrow" w:cs="Segoe UI"/>
                <w:sz w:val="20"/>
                <w:szCs w:val="20"/>
              </w:rPr>
            </w:pPr>
            <w:r w:rsidRPr="00144224">
              <w:rPr>
                <w:rFonts w:ascii="Arial Narrow" w:hAnsi="Arial Narrow" w:cs="Segoe UI"/>
                <w:sz w:val="20"/>
                <w:szCs w:val="20"/>
              </w:rPr>
              <w:t>in genes associated with breast, ovarian, fallopian tube or primary peritoneal cancer, which must include at least:</w:t>
            </w:r>
          </w:p>
          <w:p w14:paraId="1A09D838" w14:textId="77777777" w:rsidR="004376B3" w:rsidRPr="00144224" w:rsidRDefault="004376B3" w:rsidP="00144224">
            <w:pPr>
              <w:pStyle w:val="ListParagraph"/>
              <w:numPr>
                <w:ilvl w:val="1"/>
                <w:numId w:val="35"/>
              </w:numPr>
              <w:spacing w:after="40" w:line="240" w:lineRule="auto"/>
              <w:textAlignment w:val="baseline"/>
              <w:rPr>
                <w:rFonts w:ascii="Arial Narrow" w:hAnsi="Arial Narrow" w:cs="Segoe UI"/>
                <w:sz w:val="20"/>
                <w:szCs w:val="20"/>
              </w:rPr>
            </w:pPr>
            <w:r w:rsidRPr="00144224">
              <w:rPr>
                <w:rFonts w:ascii="Arial Narrow" w:hAnsi="Arial Narrow" w:cs="Segoe UI"/>
                <w:sz w:val="20"/>
                <w:szCs w:val="20"/>
              </w:rPr>
              <w:t>BRCA1 and BRCA 2 genes; and</w:t>
            </w:r>
          </w:p>
          <w:p w14:paraId="06B8A52E" w14:textId="78437DF2" w:rsidR="004376B3" w:rsidRPr="00144224" w:rsidRDefault="004376B3" w:rsidP="00144224">
            <w:pPr>
              <w:pStyle w:val="ListParagraph"/>
              <w:numPr>
                <w:ilvl w:val="1"/>
                <w:numId w:val="35"/>
              </w:numPr>
              <w:spacing w:after="40" w:line="240" w:lineRule="auto"/>
              <w:textAlignment w:val="baseline"/>
              <w:rPr>
                <w:rFonts w:ascii="Arial Narrow" w:hAnsi="Arial Narrow" w:cs="Segoe UI"/>
                <w:sz w:val="20"/>
                <w:szCs w:val="20"/>
              </w:rPr>
            </w:pPr>
            <w:r w:rsidRPr="00144224">
              <w:rPr>
                <w:rFonts w:ascii="Arial Narrow" w:hAnsi="Arial Narrow" w:cs="Segoe UI"/>
                <w:sz w:val="20"/>
                <w:szCs w:val="20"/>
              </w:rPr>
              <w:t xml:space="preserve">one or more </w:t>
            </w:r>
            <w:r w:rsidRPr="00144224">
              <w:rPr>
                <w:rFonts w:ascii="Arial Narrow" w:hAnsi="Arial Narrow" w:cs="Segoe UI"/>
                <w:strike/>
                <w:sz w:val="20"/>
                <w:szCs w:val="20"/>
              </w:rPr>
              <w:t>STK11, PTEN, CDH1, PALB2 and TP53</w:t>
            </w:r>
            <w:r w:rsidRPr="00144224">
              <w:rPr>
                <w:rFonts w:ascii="Arial Narrow" w:hAnsi="Arial Narrow" w:cs="Segoe UI"/>
                <w:sz w:val="20"/>
                <w:szCs w:val="20"/>
              </w:rPr>
              <w:t xml:space="preserve"> </w:t>
            </w:r>
            <w:r w:rsidRPr="0047760D">
              <w:rPr>
                <w:rFonts w:ascii="Arial Narrow" w:hAnsi="Arial Narrow" w:cs="Segoe UI"/>
                <w:color w:val="00B050"/>
                <w:sz w:val="20"/>
                <w:szCs w:val="20"/>
              </w:rPr>
              <w:t xml:space="preserve">other relevant </w:t>
            </w:r>
            <w:r w:rsidRPr="00144224">
              <w:rPr>
                <w:rFonts w:ascii="Arial Narrow" w:hAnsi="Arial Narrow" w:cs="Segoe UI"/>
                <w:sz w:val="20"/>
                <w:szCs w:val="20"/>
              </w:rPr>
              <w:t>genes; and</w:t>
            </w:r>
          </w:p>
          <w:p w14:paraId="74A5781A" w14:textId="77777777" w:rsidR="004376B3" w:rsidRPr="00144224" w:rsidRDefault="004376B3" w:rsidP="00144224">
            <w:pPr>
              <w:pStyle w:val="ListParagraph"/>
              <w:numPr>
                <w:ilvl w:val="0"/>
                <w:numId w:val="35"/>
              </w:numPr>
              <w:spacing w:after="40" w:line="240" w:lineRule="auto"/>
              <w:textAlignment w:val="baseline"/>
              <w:rPr>
                <w:rFonts w:ascii="Arial Narrow" w:hAnsi="Arial Narrow" w:cs="Segoe UI"/>
                <w:sz w:val="20"/>
                <w:szCs w:val="20"/>
              </w:rPr>
            </w:pPr>
            <w:r w:rsidRPr="00144224">
              <w:rPr>
                <w:rFonts w:ascii="Arial Narrow" w:hAnsi="Arial Narrow" w:cs="Segoe UI"/>
                <w:sz w:val="20"/>
                <w:szCs w:val="20"/>
              </w:rPr>
              <w:t>in a patient:</w:t>
            </w:r>
          </w:p>
          <w:p w14:paraId="0AFD6599" w14:textId="77777777" w:rsidR="004376B3" w:rsidRPr="00144224" w:rsidRDefault="004376B3" w:rsidP="00144224">
            <w:pPr>
              <w:pStyle w:val="ListParagraph"/>
              <w:numPr>
                <w:ilvl w:val="1"/>
                <w:numId w:val="35"/>
              </w:numPr>
              <w:spacing w:after="40" w:line="240" w:lineRule="auto"/>
              <w:textAlignment w:val="baseline"/>
              <w:rPr>
                <w:rFonts w:ascii="Arial Narrow" w:hAnsi="Arial Narrow" w:cs="Segoe UI"/>
                <w:sz w:val="20"/>
                <w:szCs w:val="20"/>
              </w:rPr>
            </w:pPr>
            <w:r w:rsidRPr="00144224">
              <w:rPr>
                <w:rFonts w:ascii="Arial Narrow" w:hAnsi="Arial Narrow" w:cs="Segoe UI"/>
                <w:sz w:val="20"/>
                <w:szCs w:val="20"/>
              </w:rPr>
              <w:t>with breast, ovarian, fallopian tube or primary peritoneal cancer; and</w:t>
            </w:r>
          </w:p>
          <w:p w14:paraId="362F64A4" w14:textId="35F34D41" w:rsidR="004376B3" w:rsidRPr="00144224" w:rsidRDefault="004376B3" w:rsidP="00144224">
            <w:pPr>
              <w:pStyle w:val="ListParagraph"/>
              <w:numPr>
                <w:ilvl w:val="1"/>
                <w:numId w:val="35"/>
              </w:numPr>
              <w:spacing w:after="40" w:line="240" w:lineRule="auto"/>
              <w:textAlignment w:val="baseline"/>
              <w:rPr>
                <w:rFonts w:ascii="Arial Narrow" w:hAnsi="Arial Narrow" w:cs="Segoe UI"/>
                <w:sz w:val="20"/>
                <w:szCs w:val="20"/>
              </w:rPr>
            </w:pPr>
            <w:r w:rsidRPr="00144224">
              <w:rPr>
                <w:rFonts w:ascii="Arial Narrow" w:hAnsi="Arial Narrow" w:cs="Segoe UI"/>
                <w:sz w:val="20"/>
                <w:szCs w:val="20"/>
              </w:rPr>
              <w:t>for whom clinical and family history criteria place the patient at greater than 10% risk of having a pathogenic or likely pathogenic gene associated with breast, ovarian, fallopian tube or primary peritoneal cancer</w:t>
            </w:r>
          </w:p>
          <w:p w14:paraId="5334BB0C" w14:textId="77777777" w:rsidR="004376B3" w:rsidRPr="00144224" w:rsidRDefault="004376B3" w:rsidP="00144224">
            <w:pPr>
              <w:spacing w:after="40" w:line="240" w:lineRule="auto"/>
              <w:textAlignment w:val="baseline"/>
              <w:rPr>
                <w:rFonts w:ascii="Arial Narrow" w:hAnsi="Arial Narrow" w:cs="Segoe UI"/>
                <w:sz w:val="20"/>
                <w:szCs w:val="20"/>
                <w:lang w:eastAsia="en-AU"/>
              </w:rPr>
            </w:pPr>
            <w:r w:rsidRPr="00144224">
              <w:rPr>
                <w:rFonts w:ascii="Arial Narrow" w:hAnsi="Arial Narrow" w:cs="Segoe UI"/>
                <w:sz w:val="20"/>
                <w:szCs w:val="20"/>
                <w:lang w:eastAsia="en-AU"/>
              </w:rPr>
              <w:t>Once per cancer diagnosis</w:t>
            </w:r>
          </w:p>
          <w:p w14:paraId="243AE72A" w14:textId="632F4111" w:rsidR="004376B3" w:rsidRDefault="004376B3" w:rsidP="0094713B">
            <w:pPr>
              <w:spacing w:after="40" w:line="240" w:lineRule="auto"/>
              <w:rPr>
                <w:rFonts w:ascii="Arial Narrow" w:hAnsi="Arial Narrow" w:cs="Segoe UI"/>
                <w:sz w:val="18"/>
                <w:szCs w:val="18"/>
                <w:lang w:eastAsia="en-AU"/>
              </w:rPr>
            </w:pPr>
            <w:r w:rsidRPr="00144224">
              <w:rPr>
                <w:rFonts w:ascii="Arial Narrow" w:hAnsi="Arial Narrow" w:cs="Segoe UI"/>
                <w:b/>
                <w:bCs/>
                <w:sz w:val="20"/>
                <w:szCs w:val="20"/>
                <w:lang w:eastAsia="en-AU"/>
              </w:rPr>
              <w:t>Fee</w:t>
            </w:r>
            <w:r w:rsidRPr="00144224">
              <w:rPr>
                <w:rFonts w:ascii="Arial Narrow" w:hAnsi="Arial Narrow" w:cs="Segoe UI"/>
                <w:sz w:val="20"/>
                <w:szCs w:val="20"/>
                <w:lang w:eastAsia="en-AU"/>
              </w:rPr>
              <w:t>: $1,200.00</w:t>
            </w:r>
            <w:r w:rsidR="00ED2E8E">
              <w:rPr>
                <w:rFonts w:ascii="Arial Narrow" w:hAnsi="Arial Narrow" w:cs="Segoe UI"/>
                <w:sz w:val="20"/>
                <w:szCs w:val="20"/>
                <w:lang w:eastAsia="en-AU"/>
              </w:rPr>
              <w:t xml:space="preserve"> </w:t>
            </w:r>
            <w:r w:rsidRPr="00144224">
              <w:rPr>
                <w:rFonts w:ascii="Arial Narrow" w:hAnsi="Arial Narrow" w:cs="Segoe UI"/>
                <w:b/>
                <w:bCs/>
                <w:sz w:val="20"/>
                <w:szCs w:val="20"/>
                <w:lang w:eastAsia="en-AU"/>
              </w:rPr>
              <w:t>Benefit</w:t>
            </w:r>
            <w:r w:rsidRPr="00144224">
              <w:rPr>
                <w:rFonts w:ascii="Arial Narrow" w:hAnsi="Arial Narrow" w:cs="Segoe UI"/>
                <w:sz w:val="20"/>
                <w:szCs w:val="20"/>
                <w:lang w:eastAsia="en-AU"/>
              </w:rPr>
              <w:t>: 75% = $900.00 85% = $1,101.30*</w:t>
            </w:r>
            <w:r w:rsidRPr="006F3C5E">
              <w:rPr>
                <w:rFonts w:ascii="Arial Narrow" w:hAnsi="Arial Narrow" w:cs="Segoe UI"/>
                <w:sz w:val="18"/>
                <w:szCs w:val="18"/>
                <w:lang w:eastAsia="en-AU"/>
              </w:rPr>
              <w:t> </w:t>
            </w:r>
          </w:p>
          <w:p w14:paraId="6580402D" w14:textId="1B50151C" w:rsidR="009D7013" w:rsidRPr="00F5576D" w:rsidRDefault="009D7013" w:rsidP="00144224">
            <w:pPr>
              <w:spacing w:after="40" w:line="240" w:lineRule="auto"/>
              <w:rPr>
                <w:rFonts w:ascii="Arial Narrow" w:hAnsi="Arial Narrow" w:cs="Segoe UI"/>
                <w:sz w:val="18"/>
                <w:szCs w:val="18"/>
                <w:lang w:eastAsia="en-AU"/>
              </w:rPr>
            </w:pPr>
            <w:r w:rsidRPr="009D7013">
              <w:rPr>
                <w:rFonts w:ascii="Arial Narrow" w:hAnsi="Arial Narrow" w:cs="Segoe UI"/>
                <w:sz w:val="18"/>
                <w:szCs w:val="18"/>
                <w:lang w:eastAsia="en-AU"/>
              </w:rPr>
              <w:t>(See para PN.0.23 of explanatory notes to this Category)</w:t>
            </w:r>
          </w:p>
        </w:tc>
      </w:tr>
      <w:tr w:rsidR="009D7013" w:rsidRPr="005E3371" w14:paraId="5598CB16" w14:textId="77777777" w:rsidTr="00144224">
        <w:trPr>
          <w:cantSplit/>
        </w:trPr>
        <w:tc>
          <w:tcPr>
            <w:tcW w:w="9010" w:type="dxa"/>
            <w:tcBorders>
              <w:top w:val="single" w:sz="4" w:space="0" w:color="auto"/>
              <w:left w:val="single" w:sz="4" w:space="0" w:color="auto"/>
              <w:bottom w:val="single" w:sz="4" w:space="0" w:color="auto"/>
              <w:right w:val="single" w:sz="4" w:space="0" w:color="auto"/>
            </w:tcBorders>
            <w:vAlign w:val="center"/>
          </w:tcPr>
          <w:p w14:paraId="602C4BEC" w14:textId="77777777" w:rsidR="00684F08" w:rsidRPr="009968B2" w:rsidRDefault="00684F08" w:rsidP="002255AE">
            <w:pPr>
              <w:textAlignment w:val="baseline"/>
              <w:rPr>
                <w:rFonts w:ascii="Arial Narrow" w:hAnsi="Arial Narrow" w:cs="Segoe UI"/>
                <w:b/>
                <w:bCs/>
                <w:sz w:val="20"/>
                <w:szCs w:val="20"/>
                <w:lang w:eastAsia="en-AU"/>
              </w:rPr>
            </w:pPr>
            <w:r w:rsidRPr="009968B2">
              <w:rPr>
                <w:rFonts w:ascii="Arial Narrow" w:hAnsi="Arial Narrow" w:cs="Segoe UI"/>
                <w:b/>
                <w:bCs/>
                <w:sz w:val="20"/>
                <w:szCs w:val="20"/>
                <w:lang w:eastAsia="en-AU"/>
              </w:rPr>
              <w:lastRenderedPageBreak/>
              <w:t>MBS item 73297</w:t>
            </w:r>
          </w:p>
          <w:p w14:paraId="1E699512" w14:textId="77777777" w:rsidR="00684F08" w:rsidRPr="009968B2" w:rsidRDefault="00684F08" w:rsidP="002255AE">
            <w:pPr>
              <w:textAlignment w:val="baseline"/>
              <w:rPr>
                <w:rFonts w:ascii="Arial Narrow" w:hAnsi="Arial Narrow" w:cs="Segoe UI"/>
                <w:sz w:val="20"/>
                <w:szCs w:val="20"/>
                <w:lang w:eastAsia="en-AU"/>
              </w:rPr>
            </w:pPr>
            <w:r w:rsidRPr="009968B2">
              <w:rPr>
                <w:rFonts w:ascii="Arial Narrow" w:hAnsi="Arial Narrow" w:cs="Segoe UI"/>
                <w:sz w:val="20"/>
                <w:szCs w:val="20"/>
                <w:lang w:eastAsia="en-AU"/>
              </w:rPr>
              <w:t>Characterisation of germline gene variants, including copy number variation where appropriate, requested by a specialist or consultant physician:</w:t>
            </w:r>
          </w:p>
          <w:p w14:paraId="5388A270" w14:textId="77777777" w:rsidR="00684F08" w:rsidRPr="009968B2" w:rsidRDefault="00684F08" w:rsidP="002255AE">
            <w:pPr>
              <w:pStyle w:val="ListParagraph"/>
              <w:numPr>
                <w:ilvl w:val="0"/>
                <w:numId w:val="36"/>
              </w:numPr>
              <w:spacing w:before="0" w:after="0" w:line="240" w:lineRule="auto"/>
              <w:textAlignment w:val="baseline"/>
              <w:rPr>
                <w:rFonts w:ascii="Arial Narrow" w:hAnsi="Arial Narrow" w:cs="Segoe UI"/>
                <w:sz w:val="20"/>
                <w:szCs w:val="20"/>
              </w:rPr>
            </w:pPr>
            <w:r w:rsidRPr="009968B2">
              <w:rPr>
                <w:rFonts w:ascii="Arial Narrow" w:hAnsi="Arial Narrow" w:cs="Segoe UI"/>
                <w:sz w:val="20"/>
                <w:szCs w:val="20"/>
              </w:rPr>
              <w:t>in genes associated with breast, ovarian, fallopian tube or primary peritoneal cancer, which may include the following genes:</w:t>
            </w:r>
          </w:p>
          <w:p w14:paraId="3BCC86CB" w14:textId="77777777" w:rsidR="00684F08" w:rsidRPr="009968B2" w:rsidRDefault="00684F08" w:rsidP="002255AE">
            <w:pPr>
              <w:pStyle w:val="ListParagraph"/>
              <w:numPr>
                <w:ilvl w:val="1"/>
                <w:numId w:val="36"/>
              </w:numPr>
              <w:spacing w:before="0" w:after="0" w:line="240" w:lineRule="auto"/>
              <w:textAlignment w:val="baseline"/>
              <w:rPr>
                <w:rFonts w:ascii="Arial Narrow" w:hAnsi="Arial Narrow" w:cs="Segoe UI"/>
                <w:sz w:val="20"/>
                <w:szCs w:val="20"/>
              </w:rPr>
            </w:pPr>
            <w:r w:rsidRPr="009968B2">
              <w:rPr>
                <w:rFonts w:ascii="Arial Narrow" w:hAnsi="Arial Narrow" w:cs="Segoe UI"/>
                <w:sz w:val="20"/>
                <w:szCs w:val="20"/>
              </w:rPr>
              <w:t>BRCA1 or BRCA2;</w:t>
            </w:r>
          </w:p>
          <w:p w14:paraId="305BE700" w14:textId="77777777" w:rsidR="00684F08" w:rsidRPr="009968B2" w:rsidRDefault="00684F08" w:rsidP="002255AE">
            <w:pPr>
              <w:pStyle w:val="ListParagraph"/>
              <w:numPr>
                <w:ilvl w:val="1"/>
                <w:numId w:val="36"/>
              </w:numPr>
              <w:spacing w:before="0" w:after="0" w:line="240" w:lineRule="auto"/>
              <w:textAlignment w:val="baseline"/>
              <w:rPr>
                <w:rFonts w:ascii="Arial Narrow" w:hAnsi="Arial Narrow" w:cs="Segoe UI"/>
                <w:sz w:val="20"/>
                <w:szCs w:val="20"/>
              </w:rPr>
            </w:pPr>
            <w:r w:rsidRPr="009968B2">
              <w:rPr>
                <w:rFonts w:ascii="Arial Narrow" w:hAnsi="Arial Narrow" w:cs="Segoe UI"/>
                <w:strike/>
                <w:sz w:val="20"/>
                <w:szCs w:val="20"/>
              </w:rPr>
              <w:t>STK11, PTEN, CDH1, PALB2 and TP53</w:t>
            </w:r>
            <w:r w:rsidRPr="009968B2">
              <w:rPr>
                <w:rFonts w:ascii="Arial Narrow" w:hAnsi="Arial Narrow" w:cs="Segoe UI"/>
                <w:sz w:val="20"/>
                <w:szCs w:val="20"/>
              </w:rPr>
              <w:t xml:space="preserve"> </w:t>
            </w:r>
            <w:r w:rsidRPr="0047760D">
              <w:rPr>
                <w:rFonts w:ascii="Arial Narrow" w:hAnsi="Arial Narrow" w:cs="Segoe UI"/>
                <w:color w:val="00B050"/>
                <w:sz w:val="20"/>
                <w:szCs w:val="20"/>
              </w:rPr>
              <w:t>one or more other relevant genes</w:t>
            </w:r>
            <w:r w:rsidRPr="009968B2">
              <w:rPr>
                <w:rFonts w:ascii="Arial Narrow" w:hAnsi="Arial Narrow" w:cs="Segoe UI"/>
                <w:sz w:val="20"/>
                <w:szCs w:val="20"/>
              </w:rPr>
              <w:t>; and</w:t>
            </w:r>
          </w:p>
          <w:p w14:paraId="50B9A8E4" w14:textId="77777777" w:rsidR="00684F08" w:rsidRPr="009968B2" w:rsidRDefault="00684F08" w:rsidP="002255AE">
            <w:pPr>
              <w:pStyle w:val="ListParagraph"/>
              <w:numPr>
                <w:ilvl w:val="0"/>
                <w:numId w:val="36"/>
              </w:numPr>
              <w:spacing w:before="0" w:after="0" w:line="240" w:lineRule="auto"/>
              <w:textAlignment w:val="baseline"/>
              <w:rPr>
                <w:rFonts w:ascii="Arial Narrow" w:hAnsi="Arial Narrow" w:cs="Segoe UI"/>
                <w:sz w:val="20"/>
                <w:szCs w:val="20"/>
              </w:rPr>
            </w:pPr>
            <w:r w:rsidRPr="009968B2">
              <w:rPr>
                <w:rFonts w:ascii="Arial Narrow" w:hAnsi="Arial Narrow" w:cs="Segoe UI"/>
                <w:sz w:val="20"/>
                <w:szCs w:val="20"/>
              </w:rPr>
              <w:t>in a patient:</w:t>
            </w:r>
          </w:p>
          <w:p w14:paraId="7D910E03" w14:textId="77777777" w:rsidR="00684F08" w:rsidRPr="009968B2" w:rsidRDefault="00684F08" w:rsidP="002255AE">
            <w:pPr>
              <w:pStyle w:val="ListParagraph"/>
              <w:numPr>
                <w:ilvl w:val="1"/>
                <w:numId w:val="36"/>
              </w:numPr>
              <w:spacing w:before="0" w:after="0" w:line="240" w:lineRule="auto"/>
              <w:textAlignment w:val="baseline"/>
              <w:rPr>
                <w:rFonts w:ascii="Arial Narrow" w:hAnsi="Arial Narrow" w:cs="Segoe UI"/>
                <w:sz w:val="20"/>
                <w:szCs w:val="20"/>
              </w:rPr>
            </w:pPr>
            <w:r w:rsidRPr="009968B2">
              <w:rPr>
                <w:rFonts w:ascii="Arial Narrow" w:hAnsi="Arial Narrow" w:cs="Segoe UI"/>
                <w:sz w:val="20"/>
                <w:szCs w:val="20"/>
              </w:rPr>
              <w:t>who has a biological relative who has had a pathogenic or likely pathogenic gene variant identified in one or more of the genes mentioned in paragraph (a); or</w:t>
            </w:r>
          </w:p>
          <w:p w14:paraId="40D38B77" w14:textId="77777777" w:rsidR="00684F08" w:rsidRPr="009968B2" w:rsidRDefault="00684F08" w:rsidP="002255AE">
            <w:pPr>
              <w:pStyle w:val="ListParagraph"/>
              <w:numPr>
                <w:ilvl w:val="1"/>
                <w:numId w:val="36"/>
              </w:numPr>
              <w:spacing w:before="0" w:after="0" w:line="240" w:lineRule="auto"/>
              <w:textAlignment w:val="baseline"/>
              <w:rPr>
                <w:rFonts w:ascii="Arial Narrow" w:hAnsi="Arial Narrow" w:cs="Segoe UI"/>
                <w:sz w:val="20"/>
                <w:szCs w:val="20"/>
              </w:rPr>
            </w:pPr>
            <w:r w:rsidRPr="009968B2">
              <w:rPr>
                <w:rFonts w:ascii="Arial Narrow" w:hAnsi="Arial Narrow" w:cs="Segoe UI"/>
                <w:sz w:val="20"/>
                <w:szCs w:val="20"/>
              </w:rPr>
              <w:t>who has not previously received a service to which item 73295, 73296 or 73302 applies</w:t>
            </w:r>
          </w:p>
          <w:p w14:paraId="0E9A302C" w14:textId="77777777" w:rsidR="00684F08" w:rsidRPr="009968B2" w:rsidRDefault="00684F08" w:rsidP="002255AE">
            <w:pPr>
              <w:textAlignment w:val="baseline"/>
              <w:rPr>
                <w:rFonts w:ascii="Arial Narrow" w:hAnsi="Arial Narrow" w:cs="Segoe UI"/>
                <w:sz w:val="20"/>
                <w:szCs w:val="20"/>
                <w:lang w:eastAsia="en-AU"/>
              </w:rPr>
            </w:pPr>
            <w:r w:rsidRPr="009968B2">
              <w:rPr>
                <w:rFonts w:ascii="Arial Narrow" w:hAnsi="Arial Narrow" w:cs="Segoe UI"/>
                <w:sz w:val="20"/>
                <w:szCs w:val="20"/>
                <w:lang w:eastAsia="en-AU"/>
              </w:rPr>
              <w:t>Once per variant</w:t>
            </w:r>
          </w:p>
          <w:p w14:paraId="59BD81F2" w14:textId="0021C59B" w:rsidR="009D7013" w:rsidRPr="006C4B39" w:rsidRDefault="00684F08" w:rsidP="002255AE">
            <w:pPr>
              <w:spacing w:after="40" w:line="240" w:lineRule="auto"/>
              <w:textAlignment w:val="baseline"/>
              <w:rPr>
                <w:rFonts w:ascii="Arial Narrow" w:hAnsi="Arial Narrow" w:cs="Segoe UI"/>
                <w:sz w:val="18"/>
                <w:szCs w:val="18"/>
                <w:lang w:eastAsia="en-AU"/>
              </w:rPr>
            </w:pPr>
            <w:r w:rsidRPr="009968B2">
              <w:rPr>
                <w:rFonts w:ascii="Arial Narrow" w:hAnsi="Arial Narrow" w:cs="Segoe UI"/>
                <w:b/>
                <w:bCs/>
                <w:sz w:val="20"/>
                <w:szCs w:val="20"/>
                <w:lang w:eastAsia="en-AU"/>
              </w:rPr>
              <w:t>Fee:</w:t>
            </w:r>
            <w:r w:rsidRPr="009968B2">
              <w:rPr>
                <w:rFonts w:ascii="Arial Narrow" w:hAnsi="Arial Narrow" w:cs="Segoe UI"/>
                <w:sz w:val="20"/>
                <w:szCs w:val="20"/>
                <w:lang w:eastAsia="en-AU"/>
              </w:rPr>
              <w:t xml:space="preserve"> $400.00</w:t>
            </w:r>
            <w:r>
              <w:rPr>
                <w:rFonts w:ascii="Arial Narrow" w:hAnsi="Arial Narrow" w:cs="Segoe UI"/>
                <w:sz w:val="20"/>
                <w:szCs w:val="20"/>
                <w:lang w:eastAsia="en-AU"/>
              </w:rPr>
              <w:t xml:space="preserve"> </w:t>
            </w:r>
            <w:r w:rsidRPr="009968B2">
              <w:rPr>
                <w:rFonts w:ascii="Arial Narrow" w:hAnsi="Arial Narrow" w:cs="Segoe UI"/>
                <w:b/>
                <w:bCs/>
                <w:sz w:val="20"/>
                <w:szCs w:val="20"/>
                <w:lang w:eastAsia="en-AU"/>
              </w:rPr>
              <w:t>Benefit:</w:t>
            </w:r>
            <w:r w:rsidRPr="009968B2">
              <w:rPr>
                <w:rFonts w:ascii="Arial Narrow" w:hAnsi="Arial Narrow" w:cs="Segoe UI"/>
                <w:sz w:val="20"/>
                <w:szCs w:val="20"/>
                <w:lang w:eastAsia="en-AU"/>
              </w:rPr>
              <w:t xml:space="preserve"> 75% = $300.00 85% = $340.00</w:t>
            </w:r>
          </w:p>
          <w:p w14:paraId="76C7446C" w14:textId="7F475886" w:rsidR="006C4B39" w:rsidRPr="009D7013" w:rsidDel="00D83E71" w:rsidRDefault="006C4B39" w:rsidP="002255AE">
            <w:pPr>
              <w:spacing w:after="40" w:line="240" w:lineRule="auto"/>
              <w:textAlignment w:val="baseline"/>
              <w:rPr>
                <w:rFonts w:ascii="Arial Narrow" w:hAnsi="Arial Narrow" w:cs="Segoe UI"/>
                <w:b/>
                <w:bCs/>
                <w:sz w:val="20"/>
                <w:szCs w:val="20"/>
                <w:lang w:eastAsia="en-AU"/>
              </w:rPr>
            </w:pPr>
            <w:r w:rsidRPr="00144224">
              <w:rPr>
                <w:rFonts w:ascii="Arial Narrow" w:hAnsi="Arial Narrow" w:cs="Segoe UI"/>
                <w:sz w:val="20"/>
                <w:szCs w:val="20"/>
                <w:lang w:eastAsia="en-AU"/>
              </w:rPr>
              <w:t>(See para PN.0.23 of explanatory notes to this Category)</w:t>
            </w:r>
          </w:p>
        </w:tc>
      </w:tr>
    </w:tbl>
    <w:p w14:paraId="6C76021B" w14:textId="5C41E57A" w:rsidR="002255AE" w:rsidRDefault="002255AE" w:rsidP="00144224">
      <w:pPr>
        <w:pStyle w:val="FooterTableFigure"/>
        <w:spacing w:after="0"/>
      </w:pPr>
      <w:r w:rsidRPr="007757ED">
        <w:rPr>
          <w:i/>
          <w:iCs/>
        </w:rPr>
        <w:t>BRCA</w:t>
      </w:r>
      <w:r w:rsidR="00032F25">
        <w:rPr>
          <w:i/>
          <w:iCs/>
        </w:rPr>
        <w:t xml:space="preserve"> 1/2</w:t>
      </w:r>
      <w:r>
        <w:t xml:space="preserve"> = </w:t>
      </w:r>
      <w:r w:rsidRPr="007757ED">
        <w:rPr>
          <w:i/>
          <w:iCs/>
        </w:rPr>
        <w:t>BReast C</w:t>
      </w:r>
      <w:r w:rsidR="00032F25" w:rsidRPr="007757ED">
        <w:rPr>
          <w:i/>
          <w:iCs/>
        </w:rPr>
        <w:t>a</w:t>
      </w:r>
      <w:r w:rsidRPr="007757ED">
        <w:rPr>
          <w:i/>
          <w:iCs/>
        </w:rPr>
        <w:t>ncer</w:t>
      </w:r>
      <w:r w:rsidR="00032F25">
        <w:rPr>
          <w:i/>
          <w:iCs/>
        </w:rPr>
        <w:t xml:space="preserve"> </w:t>
      </w:r>
      <w:r w:rsidR="00032F25" w:rsidRPr="007757ED">
        <w:rPr>
          <w:i/>
          <w:iCs/>
        </w:rPr>
        <w:t>1/2</w:t>
      </w:r>
      <w:r>
        <w:t xml:space="preserve"> gene; MBS = Medicare Benefits Schedule; </w:t>
      </w:r>
    </w:p>
    <w:p w14:paraId="581D152F" w14:textId="6D14A6B7" w:rsidR="001B5F53" w:rsidRPr="00144224" w:rsidRDefault="004052B9" w:rsidP="00144224">
      <w:pPr>
        <w:pStyle w:val="TableFigNote"/>
        <w:spacing w:before="0" w:after="0"/>
        <w:rPr>
          <w:rFonts w:ascii="Arial Narrow" w:hAnsi="Arial Narrow"/>
        </w:rPr>
      </w:pPr>
      <w:r w:rsidRPr="00144224">
        <w:rPr>
          <w:rFonts w:ascii="Arial Narrow" w:hAnsi="Arial Narrow"/>
        </w:rPr>
        <w:t>MSAC</w:t>
      </w:r>
      <w:r>
        <w:rPr>
          <w:rFonts w:ascii="Arial Narrow" w:hAnsi="Arial Narrow"/>
        </w:rPr>
        <w:t>’s</w:t>
      </w:r>
      <w:r w:rsidR="009132DE">
        <w:rPr>
          <w:rFonts w:ascii="Arial Narrow" w:hAnsi="Arial Narrow"/>
        </w:rPr>
        <w:t xml:space="preserve"> supported changes</w:t>
      </w:r>
      <w:r w:rsidRPr="00144224">
        <w:rPr>
          <w:rFonts w:ascii="Arial Narrow" w:hAnsi="Arial Narrow"/>
        </w:rPr>
        <w:t xml:space="preserve"> included using </w:t>
      </w:r>
      <w:r w:rsidR="002E1516">
        <w:rPr>
          <w:rFonts w:ascii="Arial Narrow" w:hAnsi="Arial Narrow"/>
        </w:rPr>
        <w:t>green</w:t>
      </w:r>
      <w:r w:rsidR="002E1516" w:rsidRPr="00144224">
        <w:rPr>
          <w:rFonts w:ascii="Arial Narrow" w:hAnsi="Arial Narrow"/>
        </w:rPr>
        <w:t xml:space="preserve"> </w:t>
      </w:r>
      <w:r w:rsidRPr="00144224">
        <w:rPr>
          <w:rFonts w:ascii="Arial Narrow" w:hAnsi="Arial Narrow"/>
        </w:rPr>
        <w:t>font text and strikethrough</w:t>
      </w:r>
    </w:p>
    <w:p w14:paraId="7FB0C1AF" w14:textId="7C25D2A5" w:rsidR="004376B3" w:rsidRDefault="002255AE" w:rsidP="00551769">
      <w:pPr>
        <w:pStyle w:val="FooterTableFigure"/>
      </w:pPr>
      <w:r w:rsidRPr="004D70F4">
        <w:t>* 85% benefit reflects the 1 November 202</w:t>
      </w:r>
      <w:r>
        <w:t>3</w:t>
      </w:r>
      <w:r w:rsidRPr="004D70F4">
        <w:t xml:space="preserve"> Greatest Permissible Gap (GPG) of $</w:t>
      </w:r>
      <w:r>
        <w:t>98.70</w:t>
      </w:r>
      <w:r w:rsidRPr="004D70F4">
        <w:t>. All out-of-hospital Medicare services that have an MBS fee of $</w:t>
      </w:r>
      <w:r>
        <w:t>658.35</w:t>
      </w:r>
      <w:r w:rsidRPr="004D70F4">
        <w:t xml:space="preserve"> or more will attract a benefit that is greater than 85% of the MBS fee – being the schedule fee less the GPG amount. The GPG amount is indexed annually on 1 November in line with the Consumer Price Index (CPI) (June quarter).</w:t>
      </w:r>
    </w:p>
    <w:p w14:paraId="2ED20D4F" w14:textId="7BFA531C" w:rsidR="004376B3" w:rsidRDefault="004376B3" w:rsidP="004376B3">
      <w:pPr>
        <w:rPr>
          <w:lang w:val="en-US"/>
        </w:rPr>
      </w:pPr>
      <w:r>
        <w:rPr>
          <w:lang w:val="en-US"/>
        </w:rPr>
        <w:t>MSAC noted that t</w:t>
      </w:r>
      <w:r w:rsidRPr="00C76615">
        <w:rPr>
          <w:lang w:val="en-US"/>
        </w:rPr>
        <w:t xml:space="preserve">he </w:t>
      </w:r>
      <w:r w:rsidR="006A7D28">
        <w:rPr>
          <w:lang w:val="en-US"/>
        </w:rPr>
        <w:t>d</w:t>
      </w:r>
      <w:r w:rsidR="006A7D28" w:rsidRPr="00C76615">
        <w:rPr>
          <w:lang w:val="en-US"/>
        </w:rPr>
        <w:t xml:space="preserve">epartment’s </w:t>
      </w:r>
      <w:r w:rsidRPr="00C76615">
        <w:rPr>
          <w:lang w:val="en-US"/>
        </w:rPr>
        <w:t>propos</w:t>
      </w:r>
      <w:r w:rsidR="006A7D28">
        <w:rPr>
          <w:lang w:val="en-US"/>
        </w:rPr>
        <w:t>ed changes</w:t>
      </w:r>
      <w:r w:rsidRPr="00C76615">
        <w:rPr>
          <w:lang w:val="en-US"/>
        </w:rPr>
        <w:t xml:space="preserve"> would mitigate the need for future codependent MSAC applications, in the event of future changes to the PBS restrictions for relevant treatments. It would also address the delay for patients between PBS listings and MBS listings.</w:t>
      </w:r>
    </w:p>
    <w:p w14:paraId="35E4F4F6" w14:textId="1714D86C" w:rsidR="004376B3" w:rsidRDefault="004376B3" w:rsidP="004376B3">
      <w:pPr>
        <w:rPr>
          <w:color w:val="000000" w:themeColor="text1"/>
        </w:rPr>
      </w:pPr>
      <w:r>
        <w:rPr>
          <w:lang w:val="en-US"/>
        </w:rPr>
        <w:t xml:space="preserve">MSAC noted that the </w:t>
      </w:r>
      <w:r w:rsidRPr="00871228">
        <w:rPr>
          <w:lang w:val="en-US"/>
        </w:rPr>
        <w:t xml:space="preserve">costs associated with testing </w:t>
      </w:r>
      <w:r>
        <w:rPr>
          <w:lang w:val="en-US"/>
        </w:rPr>
        <w:t xml:space="preserve">presented in the submission </w:t>
      </w:r>
      <w:r w:rsidRPr="0090680E">
        <w:rPr>
          <w:lang w:val="en-US"/>
        </w:rPr>
        <w:t>(</w:t>
      </w:r>
      <w:r w:rsidR="00B82AEE" w:rsidRPr="0090680E">
        <w:rPr>
          <w:lang w:val="en-US"/>
        </w:rPr>
        <w:t>$10 million to &lt; $20 million</w:t>
      </w:r>
      <w:r w:rsidR="00B82AEE" w:rsidRPr="0090680E" w:rsidDel="00B82AEE">
        <w:rPr>
          <w:lang w:val="en-US"/>
        </w:rPr>
        <w:t xml:space="preserve"> </w:t>
      </w:r>
      <w:r w:rsidRPr="0090680E">
        <w:rPr>
          <w:lang w:val="en-US"/>
        </w:rPr>
        <w:t xml:space="preserve">in </w:t>
      </w:r>
      <w:r w:rsidR="005F3CDD" w:rsidRPr="0090680E">
        <w:rPr>
          <w:lang w:val="en-US"/>
        </w:rPr>
        <w:t>Y</w:t>
      </w:r>
      <w:r w:rsidRPr="0090680E">
        <w:rPr>
          <w:lang w:val="en-US"/>
        </w:rPr>
        <w:t>ear 1 to $</w:t>
      </w:r>
      <w:r w:rsidR="00C37285" w:rsidRPr="0090680E">
        <w:rPr>
          <w:lang w:val="en-US"/>
        </w:rPr>
        <w:t>20 million to &lt; $30 million</w:t>
      </w:r>
      <w:r w:rsidRPr="0090680E">
        <w:rPr>
          <w:lang w:val="en-US"/>
        </w:rPr>
        <w:t xml:space="preserve"> in </w:t>
      </w:r>
      <w:r w:rsidR="005F3CDD" w:rsidRPr="0090680E">
        <w:rPr>
          <w:lang w:val="en-US"/>
        </w:rPr>
        <w:t>Y</w:t>
      </w:r>
      <w:r w:rsidRPr="0090680E">
        <w:rPr>
          <w:lang w:val="en-US"/>
        </w:rPr>
        <w:t>ear 6</w:t>
      </w:r>
      <w:r>
        <w:rPr>
          <w:lang w:val="en-US"/>
        </w:rPr>
        <w:t xml:space="preserve">) were </w:t>
      </w:r>
      <w:r w:rsidRPr="00871228">
        <w:rPr>
          <w:lang w:val="en-US"/>
        </w:rPr>
        <w:t xml:space="preserve">underestimated as the submission did not consider </w:t>
      </w:r>
      <w:r>
        <w:rPr>
          <w:lang w:val="en-US"/>
        </w:rPr>
        <w:t xml:space="preserve">the </w:t>
      </w:r>
      <w:r w:rsidRPr="00871228">
        <w:rPr>
          <w:lang w:val="en-US"/>
        </w:rPr>
        <w:t>costs of cascade testing</w:t>
      </w:r>
      <w:r>
        <w:rPr>
          <w:lang w:val="en-US"/>
        </w:rPr>
        <w:t>. MSAC noted that the revised</w:t>
      </w:r>
      <w:r w:rsidRPr="00871228">
        <w:rPr>
          <w:lang w:val="en-US"/>
        </w:rPr>
        <w:t xml:space="preserve"> </w:t>
      </w:r>
      <w:r>
        <w:rPr>
          <w:lang w:val="en-US"/>
        </w:rPr>
        <w:t xml:space="preserve">estimates </w:t>
      </w:r>
      <w:r w:rsidR="00982B0F">
        <w:rPr>
          <w:lang w:val="en-US"/>
        </w:rPr>
        <w:t xml:space="preserve">by the department to include cascade testing </w:t>
      </w:r>
      <w:r>
        <w:rPr>
          <w:lang w:val="en-US"/>
        </w:rPr>
        <w:t xml:space="preserve">were </w:t>
      </w:r>
      <w:r w:rsidR="000447C5" w:rsidRPr="0090680E">
        <w:rPr>
          <w:lang w:val="en-US"/>
        </w:rPr>
        <w:t>($10 million to &lt; $20 million</w:t>
      </w:r>
      <w:r w:rsidR="000447C5" w:rsidRPr="0090680E" w:rsidDel="000447C5">
        <w:rPr>
          <w:lang w:val="en-US"/>
        </w:rPr>
        <w:t xml:space="preserve"> </w:t>
      </w:r>
      <w:r w:rsidRPr="0003176A">
        <w:rPr>
          <w:lang w:val="en-US"/>
        </w:rPr>
        <w:t xml:space="preserve">in </w:t>
      </w:r>
      <w:r w:rsidR="00FE7A19" w:rsidRPr="0003176A">
        <w:rPr>
          <w:lang w:val="en-US"/>
        </w:rPr>
        <w:t>Y</w:t>
      </w:r>
      <w:r w:rsidRPr="0003176A">
        <w:rPr>
          <w:lang w:val="en-US"/>
        </w:rPr>
        <w:t xml:space="preserve">ear 1 and </w:t>
      </w:r>
      <w:r w:rsidR="00982B0F" w:rsidRPr="0003176A">
        <w:rPr>
          <w:lang w:val="en-US"/>
        </w:rPr>
        <w:t xml:space="preserve">increasing to </w:t>
      </w:r>
      <w:r w:rsidR="002F0790" w:rsidRPr="0090680E">
        <w:rPr>
          <w:lang w:val="en-US"/>
        </w:rPr>
        <w:t>$20 million to &lt; $30 million</w:t>
      </w:r>
      <w:r w:rsidR="002F0790" w:rsidRPr="0090680E" w:rsidDel="002F0790">
        <w:rPr>
          <w:lang w:val="en-US"/>
        </w:rPr>
        <w:t xml:space="preserve"> </w:t>
      </w:r>
      <w:r w:rsidRPr="0003176A">
        <w:rPr>
          <w:lang w:val="en-US"/>
        </w:rPr>
        <w:t>i</w:t>
      </w:r>
      <w:r>
        <w:rPr>
          <w:lang w:val="en-US"/>
        </w:rPr>
        <w:t xml:space="preserve">n </w:t>
      </w:r>
      <w:r w:rsidR="00FE7A19">
        <w:rPr>
          <w:lang w:val="en-US"/>
        </w:rPr>
        <w:t>Y</w:t>
      </w:r>
      <w:r>
        <w:rPr>
          <w:lang w:val="en-US"/>
        </w:rPr>
        <w:t>ear 6</w:t>
      </w:r>
      <w:r w:rsidR="00144224">
        <w:rPr>
          <w:lang w:val="en-US"/>
        </w:rPr>
        <w:t xml:space="preserve"> (</w:t>
      </w:r>
      <w:r w:rsidR="002E1516">
        <w:rPr>
          <w:lang w:val="en-US"/>
        </w:rPr>
        <w:t>Section</w:t>
      </w:r>
      <w:r w:rsidR="004124E5">
        <w:rPr>
          <w:lang w:val="en-US"/>
        </w:rPr>
        <w:t> </w:t>
      </w:r>
      <w:r w:rsidR="002E1516">
        <w:rPr>
          <w:lang w:val="en-US"/>
        </w:rPr>
        <w:t xml:space="preserve">14, </w:t>
      </w:r>
      <w:r w:rsidR="00204535">
        <w:rPr>
          <w:lang w:val="en-US"/>
        </w:rPr>
        <w:fldChar w:fldCharType="begin"/>
      </w:r>
      <w:r w:rsidR="00204535">
        <w:rPr>
          <w:lang w:val="en-US"/>
        </w:rPr>
        <w:instrText xml:space="preserve"> REF _Ref167111245 \h </w:instrText>
      </w:r>
      <w:r w:rsidR="00204535">
        <w:rPr>
          <w:lang w:val="en-US"/>
        </w:rPr>
      </w:r>
      <w:r w:rsidR="00204535">
        <w:rPr>
          <w:lang w:val="en-US"/>
        </w:rPr>
        <w:fldChar w:fldCharType="separate"/>
      </w:r>
      <w:r w:rsidR="00325DE1" w:rsidRPr="00C811C0">
        <w:t xml:space="preserve">Table </w:t>
      </w:r>
      <w:r w:rsidR="00325DE1">
        <w:rPr>
          <w:noProof/>
        </w:rPr>
        <w:t>18</w:t>
      </w:r>
      <w:r w:rsidR="00204535">
        <w:rPr>
          <w:lang w:val="en-US"/>
        </w:rPr>
        <w:fldChar w:fldCharType="end"/>
      </w:r>
      <w:r w:rsidR="00144224">
        <w:rPr>
          <w:lang w:val="en-US"/>
        </w:rPr>
        <w:t>)</w:t>
      </w:r>
      <w:r>
        <w:rPr>
          <w:lang w:val="en-US"/>
        </w:rPr>
        <w:t>.</w:t>
      </w:r>
      <w:r w:rsidR="00B30059">
        <w:rPr>
          <w:lang w:val="en-US"/>
        </w:rPr>
        <w:t xml:space="preserve"> </w:t>
      </w:r>
      <w:r>
        <w:rPr>
          <w:lang w:val="en-US"/>
        </w:rPr>
        <w:t xml:space="preserve">MSAC </w:t>
      </w:r>
      <w:r w:rsidR="004E355C">
        <w:rPr>
          <w:lang w:val="en-US"/>
        </w:rPr>
        <w:t xml:space="preserve">considered </w:t>
      </w:r>
      <w:r>
        <w:rPr>
          <w:lang w:val="en-US"/>
        </w:rPr>
        <w:t xml:space="preserve">that </w:t>
      </w:r>
      <w:r w:rsidR="00E40154">
        <w:rPr>
          <w:lang w:val="en-US"/>
        </w:rPr>
        <w:t xml:space="preserve">expanding </w:t>
      </w:r>
      <w:r>
        <w:rPr>
          <w:lang w:val="en-US"/>
        </w:rPr>
        <w:t xml:space="preserve">item 73295 </w:t>
      </w:r>
      <w:r w:rsidR="00FB6D79">
        <w:rPr>
          <w:lang w:val="en-US"/>
        </w:rPr>
        <w:t xml:space="preserve">beyond the applicant’s proposal, </w:t>
      </w:r>
      <w:r w:rsidR="00FB6D79" w:rsidRPr="00FB6D79">
        <w:rPr>
          <w:lang w:val="en-US"/>
        </w:rPr>
        <w:t xml:space="preserve">such that it includes all patients with "breast cancer", </w:t>
      </w:r>
      <w:r w:rsidRPr="00C76615">
        <w:rPr>
          <w:lang w:val="en-US"/>
        </w:rPr>
        <w:t xml:space="preserve">may lead to a marginal increase </w:t>
      </w:r>
      <w:r>
        <w:rPr>
          <w:lang w:val="en-US"/>
        </w:rPr>
        <w:t xml:space="preserve">in </w:t>
      </w:r>
      <w:r w:rsidRPr="00C76615">
        <w:rPr>
          <w:lang w:val="en-US"/>
        </w:rPr>
        <w:t>claims</w:t>
      </w:r>
      <w:r>
        <w:rPr>
          <w:lang w:val="en-US"/>
        </w:rPr>
        <w:t>; however, MSAC noted that t</w:t>
      </w:r>
      <w:r w:rsidRPr="00C76615">
        <w:rPr>
          <w:lang w:val="en-US"/>
        </w:rPr>
        <w:t xml:space="preserve">he utilisation </w:t>
      </w:r>
      <w:r w:rsidR="007B7C95">
        <w:rPr>
          <w:lang w:val="en-US"/>
        </w:rPr>
        <w:t>wa</w:t>
      </w:r>
      <w:r w:rsidRPr="00C76615">
        <w:rPr>
          <w:lang w:val="en-US"/>
        </w:rPr>
        <w:t>s low relative to items 73296 and 73297</w:t>
      </w:r>
      <w:r>
        <w:rPr>
          <w:lang w:val="en-US"/>
        </w:rPr>
        <w:t xml:space="preserve"> and that the </w:t>
      </w:r>
      <w:r w:rsidRPr="00C76615">
        <w:rPr>
          <w:lang w:val="en-US"/>
        </w:rPr>
        <w:t xml:space="preserve">likely financial impact would </w:t>
      </w:r>
      <w:r w:rsidR="005D15B8">
        <w:rPr>
          <w:lang w:val="en-US"/>
        </w:rPr>
        <w:t xml:space="preserve">also </w:t>
      </w:r>
      <w:r w:rsidRPr="00C76615">
        <w:rPr>
          <w:lang w:val="en-US"/>
        </w:rPr>
        <w:t>be low.</w:t>
      </w:r>
    </w:p>
    <w:p w14:paraId="6710B69D" w14:textId="57A3937D" w:rsidR="00772829" w:rsidRPr="00CE28E3" w:rsidRDefault="00801332" w:rsidP="002A18BE">
      <w:pPr>
        <w:pStyle w:val="Heading2"/>
        <w:numPr>
          <w:ilvl w:val="0"/>
          <w:numId w:val="0"/>
        </w:numPr>
      </w:pPr>
      <w:bookmarkStart w:id="4" w:name="_Toc69491416"/>
      <w:bookmarkEnd w:id="1"/>
      <w:r>
        <w:t>4</w:t>
      </w:r>
      <w:r w:rsidR="00C36633">
        <w:t>.</w:t>
      </w:r>
      <w:r w:rsidR="00C36633">
        <w:tab/>
      </w:r>
      <w:r w:rsidR="00772829" w:rsidRPr="00CE28E3">
        <w:t>Background</w:t>
      </w:r>
      <w:bookmarkEnd w:id="4"/>
    </w:p>
    <w:p w14:paraId="4590728E" w14:textId="6861E5B0" w:rsidR="001B4D93" w:rsidRDefault="001B4D93" w:rsidP="0059707C">
      <w:pPr>
        <w:rPr>
          <w:color w:val="000000" w:themeColor="text1"/>
        </w:rPr>
      </w:pPr>
      <w:bookmarkStart w:id="5" w:name="_Hlk69734494"/>
      <w:r>
        <w:rPr>
          <w:color w:val="000000" w:themeColor="text1"/>
        </w:rPr>
        <w:t xml:space="preserve">MSAC has not previously considered </w:t>
      </w:r>
      <w:r>
        <w:t>g</w:t>
      </w:r>
      <w:r w:rsidRPr="001B4D93">
        <w:rPr>
          <w:i/>
        </w:rPr>
        <w:t>BRCA</w:t>
      </w:r>
      <w:r w:rsidRPr="00ED7DA4">
        <w:t xml:space="preserve"> testing in patients with locally advanced or metastatic HER2-negative breast cancer to determine eligibility for PBS-listed olaparib treatment</w:t>
      </w:r>
      <w:r>
        <w:t>.</w:t>
      </w:r>
      <w:r w:rsidR="00843BD9">
        <w:t xml:space="preserve"> </w:t>
      </w:r>
      <w:r w:rsidR="003715C5">
        <w:t xml:space="preserve">MSAC’s </w:t>
      </w:r>
      <w:r w:rsidR="00BD0F45" w:rsidRPr="00BD0F45">
        <w:t xml:space="preserve">PICO Advisory Sub-committee (PASC) </w:t>
      </w:r>
      <w:r w:rsidR="00BD0F45">
        <w:t xml:space="preserve">first considered the original application </w:t>
      </w:r>
      <w:r w:rsidR="00843BD9">
        <w:rPr>
          <w:color w:val="000000" w:themeColor="text1"/>
        </w:rPr>
        <w:t xml:space="preserve">(MSAC </w:t>
      </w:r>
      <w:r w:rsidR="00A93122" w:rsidRPr="0069304F">
        <w:t>1507</w:t>
      </w:r>
      <w:r w:rsidR="00A93122">
        <w:rPr>
          <w:vertAlign w:val="superscript"/>
        </w:rPr>
        <w:t>2</w:t>
      </w:r>
      <w:r w:rsidR="00843BD9">
        <w:rPr>
          <w:color w:val="000000" w:themeColor="text1"/>
        </w:rPr>
        <w:t xml:space="preserve">) </w:t>
      </w:r>
      <w:r w:rsidR="0018740A">
        <w:rPr>
          <w:color w:val="000000" w:themeColor="text1"/>
        </w:rPr>
        <w:t>in December 2017</w:t>
      </w:r>
      <w:r w:rsidR="00F66E34">
        <w:rPr>
          <w:color w:val="000000" w:themeColor="text1"/>
        </w:rPr>
        <w:t xml:space="preserve">, with </w:t>
      </w:r>
      <w:r w:rsidR="007D1A73">
        <w:rPr>
          <w:color w:val="000000" w:themeColor="text1"/>
        </w:rPr>
        <w:t>the subsequent ratification of</w:t>
      </w:r>
      <w:r w:rsidR="00CE35F8">
        <w:rPr>
          <w:color w:val="000000" w:themeColor="text1"/>
        </w:rPr>
        <w:t xml:space="preserve"> a</w:t>
      </w:r>
      <w:r w:rsidR="007D1A73">
        <w:rPr>
          <w:color w:val="000000" w:themeColor="text1"/>
        </w:rPr>
        <w:t xml:space="preserve"> </w:t>
      </w:r>
      <w:r w:rsidR="00A93122" w:rsidRPr="0069304F">
        <w:t>PICO Confirmation</w:t>
      </w:r>
      <w:r w:rsidR="00A93122">
        <w:rPr>
          <w:rStyle w:val="FootnoteReference"/>
        </w:rPr>
        <w:footnoteReference w:id="2"/>
      </w:r>
      <w:r w:rsidR="00843BD9">
        <w:rPr>
          <w:color w:val="000000" w:themeColor="text1"/>
        </w:rPr>
        <w:t xml:space="preserve"> </w:t>
      </w:r>
      <w:r w:rsidR="003617A2">
        <w:rPr>
          <w:color w:val="000000" w:themeColor="text1"/>
        </w:rPr>
        <w:t>in January 2018</w:t>
      </w:r>
      <w:r w:rsidR="00CE35F8">
        <w:rPr>
          <w:color w:val="000000" w:themeColor="text1"/>
        </w:rPr>
        <w:t xml:space="preserve">. However, the applicant did not submit any assessment report </w:t>
      </w:r>
      <w:r w:rsidR="001955AB">
        <w:rPr>
          <w:color w:val="000000" w:themeColor="text1"/>
        </w:rPr>
        <w:t xml:space="preserve">and </w:t>
      </w:r>
      <w:r w:rsidR="00822F23">
        <w:rPr>
          <w:color w:val="000000" w:themeColor="text1"/>
        </w:rPr>
        <w:t>the applica</w:t>
      </w:r>
      <w:r w:rsidR="001955AB">
        <w:rPr>
          <w:color w:val="000000" w:themeColor="text1"/>
        </w:rPr>
        <w:t>tion</w:t>
      </w:r>
      <w:r w:rsidR="00822F23">
        <w:rPr>
          <w:color w:val="000000" w:themeColor="text1"/>
        </w:rPr>
        <w:t xml:space="preserve"> did not </w:t>
      </w:r>
      <w:r w:rsidR="002F04E6">
        <w:rPr>
          <w:color w:val="000000" w:themeColor="text1"/>
        </w:rPr>
        <w:t xml:space="preserve">progress </w:t>
      </w:r>
      <w:r w:rsidR="00CD7BF2">
        <w:rPr>
          <w:color w:val="000000" w:themeColor="text1"/>
        </w:rPr>
        <w:t>further</w:t>
      </w:r>
      <w:r w:rsidR="00843BD9">
        <w:rPr>
          <w:color w:val="000000" w:themeColor="text1"/>
        </w:rPr>
        <w:t>.</w:t>
      </w:r>
    </w:p>
    <w:p w14:paraId="394A8771" w14:textId="05BC1E06" w:rsidR="00DA196C" w:rsidRDefault="00ED7DA4" w:rsidP="0059707C">
      <w:pPr>
        <w:rPr>
          <w:color w:val="000000" w:themeColor="text1"/>
        </w:rPr>
      </w:pPr>
      <w:r w:rsidRPr="00ED7DA4">
        <w:rPr>
          <w:color w:val="000000" w:themeColor="text1"/>
        </w:rPr>
        <w:t xml:space="preserve">MSAC </w:t>
      </w:r>
      <w:r w:rsidR="00BA6E55">
        <w:rPr>
          <w:color w:val="000000" w:themeColor="text1"/>
        </w:rPr>
        <w:t xml:space="preserve">however, </w:t>
      </w:r>
      <w:r w:rsidRPr="00ED7DA4">
        <w:rPr>
          <w:color w:val="000000" w:themeColor="text1"/>
        </w:rPr>
        <w:t>ha</w:t>
      </w:r>
      <w:r w:rsidR="00BA6E55">
        <w:rPr>
          <w:color w:val="000000" w:themeColor="text1"/>
        </w:rPr>
        <w:t>d</w:t>
      </w:r>
      <w:r w:rsidRPr="00ED7DA4">
        <w:rPr>
          <w:color w:val="000000" w:themeColor="text1"/>
        </w:rPr>
        <w:t xml:space="preserve"> previously considered </w:t>
      </w:r>
      <w:r>
        <w:rPr>
          <w:color w:val="000000" w:themeColor="text1"/>
        </w:rPr>
        <w:t xml:space="preserve">germline </w:t>
      </w:r>
      <w:r w:rsidRPr="001B4D93">
        <w:rPr>
          <w:i/>
          <w:iCs/>
          <w:color w:val="000000" w:themeColor="text1"/>
        </w:rPr>
        <w:t>BRCA1/2</w:t>
      </w:r>
      <w:r>
        <w:rPr>
          <w:color w:val="000000" w:themeColor="text1"/>
        </w:rPr>
        <w:t xml:space="preserve"> testing </w:t>
      </w:r>
      <w:r w:rsidR="00A542F8">
        <w:rPr>
          <w:color w:val="000000" w:themeColor="text1"/>
        </w:rPr>
        <w:t xml:space="preserve">to determine eligibility for access to PBS-subsidised adjuvant </w:t>
      </w:r>
      <w:r w:rsidR="00932D7D">
        <w:rPr>
          <w:color w:val="000000" w:themeColor="text1"/>
        </w:rPr>
        <w:t>o</w:t>
      </w:r>
      <w:r w:rsidR="00A542F8">
        <w:rPr>
          <w:color w:val="000000" w:themeColor="text1"/>
        </w:rPr>
        <w:t>laparib in patie</w:t>
      </w:r>
      <w:r w:rsidR="00E61867">
        <w:rPr>
          <w:color w:val="000000" w:themeColor="text1"/>
        </w:rPr>
        <w:t>n</w:t>
      </w:r>
      <w:r w:rsidR="00A542F8">
        <w:rPr>
          <w:color w:val="000000" w:themeColor="text1"/>
        </w:rPr>
        <w:t>ts with HER2-ne</w:t>
      </w:r>
      <w:r w:rsidR="00D43CDE">
        <w:rPr>
          <w:color w:val="000000" w:themeColor="text1"/>
        </w:rPr>
        <w:t>g</w:t>
      </w:r>
      <w:r w:rsidR="00A542F8">
        <w:rPr>
          <w:color w:val="000000" w:themeColor="text1"/>
        </w:rPr>
        <w:t xml:space="preserve">ative </w:t>
      </w:r>
      <w:r>
        <w:rPr>
          <w:color w:val="000000" w:themeColor="text1"/>
        </w:rPr>
        <w:t>early breast cancer (</w:t>
      </w:r>
      <w:r w:rsidR="00871922">
        <w:rPr>
          <w:color w:val="000000" w:themeColor="text1"/>
        </w:rPr>
        <w:t>eBC</w:t>
      </w:r>
      <w:r w:rsidR="00DA196C">
        <w:rPr>
          <w:color w:val="000000" w:themeColor="text1"/>
        </w:rPr>
        <w:t>) (</w:t>
      </w:r>
      <w:r w:rsidR="00843BD9">
        <w:rPr>
          <w:color w:val="000000" w:themeColor="text1"/>
        </w:rPr>
        <w:t>Application</w:t>
      </w:r>
      <w:r>
        <w:rPr>
          <w:color w:val="000000" w:themeColor="text1"/>
        </w:rPr>
        <w:t xml:space="preserve"> </w:t>
      </w:r>
      <w:r w:rsidR="00A93122" w:rsidRPr="0069304F">
        <w:t>1716</w:t>
      </w:r>
      <w:r w:rsidR="00A93122">
        <w:rPr>
          <w:vertAlign w:val="superscript"/>
        </w:rPr>
        <w:t>1</w:t>
      </w:r>
      <w:r w:rsidRPr="0066027B">
        <w:rPr>
          <w:color w:val="000000" w:themeColor="text1"/>
        </w:rPr>
        <w:t>)</w:t>
      </w:r>
      <w:r>
        <w:rPr>
          <w:color w:val="000000" w:themeColor="text1"/>
        </w:rPr>
        <w:t xml:space="preserve"> </w:t>
      </w:r>
      <w:r w:rsidR="00E12467">
        <w:rPr>
          <w:color w:val="000000" w:themeColor="text1"/>
        </w:rPr>
        <w:t xml:space="preserve">in </w:t>
      </w:r>
      <w:r w:rsidR="000226AD">
        <w:rPr>
          <w:color w:val="000000" w:themeColor="text1"/>
        </w:rPr>
        <w:t xml:space="preserve">March and </w:t>
      </w:r>
      <w:r w:rsidR="00E12467">
        <w:rPr>
          <w:color w:val="000000" w:themeColor="text1"/>
        </w:rPr>
        <w:t>November 2023</w:t>
      </w:r>
      <w:r w:rsidR="00DA196C">
        <w:rPr>
          <w:color w:val="000000" w:themeColor="text1"/>
        </w:rPr>
        <w:t>.</w:t>
      </w:r>
      <w:r w:rsidR="00CB5458">
        <w:rPr>
          <w:color w:val="000000" w:themeColor="text1"/>
        </w:rPr>
        <w:t xml:space="preserve"> </w:t>
      </w:r>
      <w:r w:rsidR="00B14035" w:rsidRPr="00B14035">
        <w:rPr>
          <w:color w:val="000000" w:themeColor="text1"/>
        </w:rPr>
        <w:t>MSAC considered the genetic testing safe, effective and good value for money</w:t>
      </w:r>
      <w:r w:rsidR="00B14035">
        <w:rPr>
          <w:color w:val="000000" w:themeColor="text1"/>
        </w:rPr>
        <w:t xml:space="preserve"> and supported the expansion of MBS item 73295 to </w:t>
      </w:r>
      <w:r w:rsidR="00B14035">
        <w:rPr>
          <w:color w:val="000000" w:themeColor="text1"/>
        </w:rPr>
        <w:lastRenderedPageBreak/>
        <w:t xml:space="preserve">include patients with </w:t>
      </w:r>
      <w:r w:rsidR="00EF2FCF" w:rsidRPr="00EF2FCF">
        <w:rPr>
          <w:color w:val="000000" w:themeColor="text1"/>
        </w:rPr>
        <w:t xml:space="preserve">people with early TNBC) or hormone receptor (HR)-positive, HER2-negative </w:t>
      </w:r>
      <w:r w:rsidR="00EF2FCF">
        <w:rPr>
          <w:color w:val="000000" w:themeColor="text1"/>
        </w:rPr>
        <w:t>eBC</w:t>
      </w:r>
      <w:r w:rsidR="00EF2FCF" w:rsidRPr="00EF2FCF">
        <w:rPr>
          <w:color w:val="000000" w:themeColor="text1"/>
        </w:rPr>
        <w:t xml:space="preserve"> with high-risk characteristics of high-grade tumour, to determine if they can access olaparib on the PBS</w:t>
      </w:r>
      <w:r w:rsidR="00992961">
        <w:rPr>
          <w:color w:val="000000" w:themeColor="text1"/>
        </w:rPr>
        <w:t xml:space="preserve"> </w:t>
      </w:r>
      <w:r w:rsidR="00CA7FEC">
        <w:rPr>
          <w:color w:val="000000" w:themeColor="text1"/>
        </w:rPr>
        <w:t xml:space="preserve">(p3, </w:t>
      </w:r>
      <w:r w:rsidR="00A93122" w:rsidRPr="0069304F">
        <w:t>1716</w:t>
      </w:r>
      <w:r w:rsidR="00A93122">
        <w:rPr>
          <w:vertAlign w:val="superscript"/>
        </w:rPr>
        <w:t>1</w:t>
      </w:r>
      <w:r w:rsidR="00A93122" w:rsidRPr="0069304F">
        <w:t xml:space="preserve"> PSD November 2023 MSAC meeting</w:t>
      </w:r>
      <w:r w:rsidR="00EC159C">
        <w:rPr>
          <w:color w:val="000000" w:themeColor="text1"/>
        </w:rPr>
        <w:t>)</w:t>
      </w:r>
      <w:r w:rsidR="00B14035" w:rsidRPr="00B14035">
        <w:rPr>
          <w:color w:val="000000" w:themeColor="text1"/>
        </w:rPr>
        <w:t>.</w:t>
      </w:r>
      <w:r w:rsidR="00C6097A">
        <w:rPr>
          <w:color w:val="000000" w:themeColor="text1"/>
        </w:rPr>
        <w:t xml:space="preserve"> The recommended amendme</w:t>
      </w:r>
      <w:r w:rsidR="00E55A39">
        <w:rPr>
          <w:color w:val="000000" w:themeColor="text1"/>
        </w:rPr>
        <w:t xml:space="preserve">nt </w:t>
      </w:r>
      <w:r w:rsidR="000B22FE">
        <w:rPr>
          <w:color w:val="000000" w:themeColor="text1"/>
        </w:rPr>
        <w:t>was</w:t>
      </w:r>
      <w:r w:rsidR="00E55A39">
        <w:rPr>
          <w:color w:val="000000" w:themeColor="text1"/>
        </w:rPr>
        <w:t xml:space="preserve"> implemented </w:t>
      </w:r>
      <w:r w:rsidR="000B22FE">
        <w:rPr>
          <w:color w:val="000000" w:themeColor="text1"/>
        </w:rPr>
        <w:t>on</w:t>
      </w:r>
      <w:r w:rsidR="00E55A39">
        <w:rPr>
          <w:color w:val="000000" w:themeColor="text1"/>
        </w:rPr>
        <w:t xml:space="preserve"> 1 July 2024</w:t>
      </w:r>
      <w:r w:rsidR="008805FC">
        <w:rPr>
          <w:color w:val="000000" w:themeColor="text1"/>
        </w:rPr>
        <w:t xml:space="preserve"> (</w:t>
      </w:r>
      <w:r w:rsidR="008805FC">
        <w:rPr>
          <w:color w:val="000000" w:themeColor="text1"/>
        </w:rPr>
        <w:fldChar w:fldCharType="begin"/>
      </w:r>
      <w:r w:rsidR="008805FC">
        <w:rPr>
          <w:color w:val="000000" w:themeColor="text1"/>
        </w:rPr>
        <w:instrText xml:space="preserve"> REF _Ref171431214 \h </w:instrText>
      </w:r>
      <w:r w:rsidR="008805FC">
        <w:rPr>
          <w:color w:val="000000" w:themeColor="text1"/>
        </w:rPr>
      </w:r>
      <w:r w:rsidR="008805FC">
        <w:rPr>
          <w:color w:val="000000" w:themeColor="text1"/>
        </w:rPr>
        <w:fldChar w:fldCharType="separate"/>
      </w:r>
      <w:r w:rsidR="00325DE1">
        <w:t xml:space="preserve">Table </w:t>
      </w:r>
      <w:r w:rsidR="00325DE1">
        <w:rPr>
          <w:noProof/>
        </w:rPr>
        <w:t>3</w:t>
      </w:r>
      <w:r w:rsidR="008805FC">
        <w:rPr>
          <w:color w:val="000000" w:themeColor="text1"/>
        </w:rPr>
        <w:fldChar w:fldCharType="end"/>
      </w:r>
      <w:r w:rsidR="008805FC">
        <w:rPr>
          <w:color w:val="000000" w:themeColor="text1"/>
        </w:rPr>
        <w:t>)</w:t>
      </w:r>
      <w:r w:rsidR="00E55A39">
        <w:rPr>
          <w:color w:val="000000" w:themeColor="text1"/>
        </w:rPr>
        <w:t>.</w:t>
      </w:r>
    </w:p>
    <w:p w14:paraId="4908DA87" w14:textId="68BCAA5E" w:rsidR="00ED7DA4" w:rsidRDefault="00230822" w:rsidP="0059707C">
      <w:pPr>
        <w:rPr>
          <w:color w:val="000000" w:themeColor="text1"/>
        </w:rPr>
      </w:pPr>
      <w:r>
        <w:rPr>
          <w:color w:val="000000" w:themeColor="text1"/>
        </w:rPr>
        <w:t>MSAC also considered</w:t>
      </w:r>
      <w:r w:rsidR="0050191A">
        <w:rPr>
          <w:color w:val="000000" w:themeColor="text1"/>
        </w:rPr>
        <w:t xml:space="preserve"> </w:t>
      </w:r>
      <w:r w:rsidR="00ED7DA4" w:rsidRPr="00ED7DA4">
        <w:rPr>
          <w:color w:val="000000" w:themeColor="text1"/>
        </w:rPr>
        <w:t>and</w:t>
      </w:r>
      <w:r w:rsidR="00ED7DA4">
        <w:rPr>
          <w:i/>
          <w:iCs/>
          <w:color w:val="000000" w:themeColor="text1"/>
        </w:rPr>
        <w:t xml:space="preserve"> </w:t>
      </w:r>
      <w:r w:rsidR="006764ED">
        <w:rPr>
          <w:color w:val="000000" w:themeColor="text1"/>
        </w:rPr>
        <w:t>supported</w:t>
      </w:r>
      <w:r w:rsidR="00ED7DA4">
        <w:rPr>
          <w:color w:val="000000" w:themeColor="text1"/>
        </w:rPr>
        <w:t xml:space="preserve"> </w:t>
      </w:r>
      <w:r w:rsidR="00ED7DA4" w:rsidRPr="00ED7DA4">
        <w:rPr>
          <w:color w:val="000000" w:themeColor="text1"/>
        </w:rPr>
        <w:t xml:space="preserve">tumour </w:t>
      </w:r>
      <w:r w:rsidR="00ED7DA4" w:rsidRPr="001B4D93">
        <w:rPr>
          <w:i/>
          <w:iCs/>
          <w:color w:val="000000" w:themeColor="text1"/>
        </w:rPr>
        <w:t>BRCA1/2</w:t>
      </w:r>
      <w:r w:rsidR="00ED7DA4" w:rsidRPr="00ED7DA4">
        <w:rPr>
          <w:color w:val="000000" w:themeColor="text1"/>
        </w:rPr>
        <w:t xml:space="preserve"> testing (and germline testing where tumour testing is not feasible) to determine eligibility for olaparib for the treatment of ovarian cancer (</w:t>
      </w:r>
      <w:r w:rsidR="001B4D93">
        <w:rPr>
          <w:color w:val="000000" w:themeColor="text1"/>
        </w:rPr>
        <w:t>A</w:t>
      </w:r>
      <w:r w:rsidR="00ED7DA4" w:rsidRPr="00ED7DA4">
        <w:rPr>
          <w:color w:val="000000" w:themeColor="text1"/>
        </w:rPr>
        <w:t xml:space="preserve">pplications </w:t>
      </w:r>
      <w:r w:rsidR="00A93122" w:rsidRPr="0069304F">
        <w:t>1380</w:t>
      </w:r>
      <w:r w:rsidR="00A93122">
        <w:rPr>
          <w:vertAlign w:val="superscript"/>
        </w:rPr>
        <w:t>3</w:t>
      </w:r>
      <w:r w:rsidR="00ED7DA4" w:rsidRPr="00ED7DA4">
        <w:rPr>
          <w:color w:val="000000" w:themeColor="text1"/>
        </w:rPr>
        <w:t xml:space="preserve"> and</w:t>
      </w:r>
      <w:r w:rsidR="0050191A" w:rsidRPr="0050191A">
        <w:t xml:space="preserve"> </w:t>
      </w:r>
      <w:r w:rsidR="00A93122" w:rsidRPr="0069304F">
        <w:t>1554</w:t>
      </w:r>
      <w:r w:rsidR="00A93122" w:rsidRPr="0069304F">
        <w:rPr>
          <w:vertAlign w:val="superscript"/>
        </w:rPr>
        <w:t>4</w:t>
      </w:r>
      <w:r w:rsidR="00ED7DA4" w:rsidRPr="00ED7DA4">
        <w:rPr>
          <w:color w:val="000000" w:themeColor="text1"/>
        </w:rPr>
        <w:t>)</w:t>
      </w:r>
      <w:r w:rsidR="001B4D93">
        <w:rPr>
          <w:color w:val="000000" w:themeColor="text1"/>
        </w:rPr>
        <w:t>.</w:t>
      </w:r>
      <w:r w:rsidR="00370060" w:rsidDel="00370060">
        <w:rPr>
          <w:color w:val="000000" w:themeColor="text1"/>
        </w:rPr>
        <w:t xml:space="preserve"> </w:t>
      </w:r>
      <w:r w:rsidR="00ED7DA4" w:rsidRPr="00ED7DA4">
        <w:rPr>
          <w:color w:val="000000" w:themeColor="text1"/>
        </w:rPr>
        <w:t>MSAC recognised that g</w:t>
      </w:r>
      <w:r w:rsidR="00ED7DA4" w:rsidRPr="00ED7DA4">
        <w:rPr>
          <w:i/>
          <w:iCs/>
          <w:color w:val="000000" w:themeColor="text1"/>
        </w:rPr>
        <w:t>BRCA</w:t>
      </w:r>
      <w:r w:rsidR="00ED7DA4" w:rsidRPr="00ED7DA4">
        <w:rPr>
          <w:color w:val="000000" w:themeColor="text1"/>
        </w:rPr>
        <w:t xml:space="preserve"> testing would not identify all women who could benefit from olaparib therapy. However, the lack of evidence on the performance of somatic </w:t>
      </w:r>
      <w:r w:rsidR="00ED7DA4" w:rsidRPr="00ED7DA4">
        <w:rPr>
          <w:i/>
          <w:iCs/>
          <w:color w:val="000000" w:themeColor="text1"/>
        </w:rPr>
        <w:t>BRCA</w:t>
      </w:r>
      <w:r w:rsidR="00ED7DA4" w:rsidRPr="00ED7DA4">
        <w:rPr>
          <w:color w:val="000000" w:themeColor="text1"/>
        </w:rPr>
        <w:t xml:space="preserve"> testing, the incompleteness of the Study 19 </w:t>
      </w:r>
      <w:r w:rsidR="00ED7DA4" w:rsidRPr="00ED7DA4">
        <w:rPr>
          <w:i/>
          <w:iCs/>
          <w:color w:val="000000" w:themeColor="text1"/>
        </w:rPr>
        <w:t>BRCA</w:t>
      </w:r>
      <w:r w:rsidR="00ED7DA4" w:rsidRPr="00ED7DA4">
        <w:rPr>
          <w:color w:val="000000" w:themeColor="text1"/>
        </w:rPr>
        <w:t xml:space="preserve"> testing data (the results of both germline and somatic </w:t>
      </w:r>
      <w:r w:rsidR="00ED7DA4" w:rsidRPr="00ED7DA4">
        <w:rPr>
          <w:i/>
          <w:iCs/>
          <w:color w:val="000000" w:themeColor="text1"/>
        </w:rPr>
        <w:t>BRCA</w:t>
      </w:r>
      <w:r w:rsidR="00ED7DA4" w:rsidRPr="00ED7DA4">
        <w:rPr>
          <w:color w:val="000000" w:themeColor="text1"/>
        </w:rPr>
        <w:t xml:space="preserve"> testing were known for only 157/265 (59%) of the study participants), and the inadequate evidence for improved olaparib outcomes for women with an identified somatic </w:t>
      </w:r>
      <w:r w:rsidR="00ED7DA4" w:rsidRPr="00ED7DA4">
        <w:rPr>
          <w:i/>
          <w:iCs/>
          <w:color w:val="000000" w:themeColor="text1"/>
        </w:rPr>
        <w:t>BRCA</w:t>
      </w:r>
      <w:r w:rsidR="00ED7DA4" w:rsidRPr="00ED7DA4">
        <w:rPr>
          <w:color w:val="000000" w:themeColor="text1"/>
        </w:rPr>
        <w:t xml:space="preserve"> variants only, argued against support for funding somatic </w:t>
      </w:r>
      <w:r w:rsidR="00ED7DA4" w:rsidRPr="00ED7DA4">
        <w:rPr>
          <w:i/>
          <w:iCs/>
          <w:color w:val="000000" w:themeColor="text1"/>
        </w:rPr>
        <w:t>BRCA</w:t>
      </w:r>
      <w:r w:rsidR="00ED7DA4" w:rsidRPr="00ED7DA4">
        <w:rPr>
          <w:color w:val="000000" w:themeColor="text1"/>
        </w:rPr>
        <w:t xml:space="preserve"> testing at that stage. Subsequently, MSAC supported funding of somatic </w:t>
      </w:r>
      <w:r w:rsidR="00ED7DA4" w:rsidRPr="00ED7DA4">
        <w:rPr>
          <w:i/>
          <w:iCs/>
          <w:color w:val="000000" w:themeColor="text1"/>
        </w:rPr>
        <w:t>BRCA</w:t>
      </w:r>
      <w:r w:rsidR="00ED7DA4" w:rsidRPr="00ED7DA4">
        <w:rPr>
          <w:color w:val="000000" w:themeColor="text1"/>
        </w:rPr>
        <w:t xml:space="preserve"> testing (</w:t>
      </w:r>
      <w:r w:rsidR="00D010B6" w:rsidRPr="00D010B6">
        <w:rPr>
          <w:color w:val="000000" w:themeColor="text1"/>
        </w:rPr>
        <w:t xml:space="preserve">Application </w:t>
      </w:r>
      <w:hyperlink r:id="rId9" w:history="1">
        <w:r w:rsidR="00D010B6" w:rsidRPr="007543F6">
          <w:rPr>
            <w:rStyle w:val="Hyperlink"/>
            <w:color w:val="000000" w:themeColor="text1"/>
            <w:u w:val="none"/>
          </w:rPr>
          <w:t>1554 PSD July 2020 MSAC meeting</w:t>
        </w:r>
      </w:hyperlink>
      <w:r w:rsidR="00ED7DA4" w:rsidRPr="00ED7DA4">
        <w:rPr>
          <w:color w:val="000000" w:themeColor="text1"/>
        </w:rPr>
        <w:t xml:space="preserve">) as MSAC considered that it was biologically plausible that women with a somatic or germline </w:t>
      </w:r>
      <w:r w:rsidR="00ED7DA4" w:rsidRPr="00ED7DA4">
        <w:rPr>
          <w:i/>
          <w:iCs/>
          <w:color w:val="000000" w:themeColor="text1"/>
        </w:rPr>
        <w:t xml:space="preserve">BRCA </w:t>
      </w:r>
      <w:r w:rsidR="00ED7DA4" w:rsidRPr="00ED7DA4">
        <w:rPr>
          <w:color w:val="000000" w:themeColor="text1"/>
        </w:rPr>
        <w:t xml:space="preserve">pathogenic variant would each have an improved response to olaparib over women without any </w:t>
      </w:r>
      <w:r w:rsidR="00ED7DA4" w:rsidRPr="00ED7DA4">
        <w:rPr>
          <w:i/>
          <w:iCs/>
          <w:color w:val="000000" w:themeColor="text1"/>
        </w:rPr>
        <w:t>BRCA</w:t>
      </w:r>
      <w:r w:rsidR="00ED7DA4" w:rsidRPr="00ED7DA4">
        <w:rPr>
          <w:color w:val="000000" w:themeColor="text1"/>
        </w:rPr>
        <w:t xml:space="preserve"> pathogenic variant, that is, clinical utility was expected regardless of where the </w:t>
      </w:r>
      <w:r w:rsidR="00ED7DA4" w:rsidRPr="00ED7DA4">
        <w:rPr>
          <w:i/>
          <w:iCs/>
          <w:color w:val="000000" w:themeColor="text1"/>
        </w:rPr>
        <w:t>BRCA</w:t>
      </w:r>
      <w:r w:rsidR="00ED7DA4" w:rsidRPr="00ED7DA4">
        <w:rPr>
          <w:color w:val="000000" w:themeColor="text1"/>
        </w:rPr>
        <w:t xml:space="preserve"> pathogenic variant originated.  </w:t>
      </w:r>
    </w:p>
    <w:p w14:paraId="0068629D" w14:textId="66A78088" w:rsidR="00322D31" w:rsidRPr="00ED7DA4" w:rsidRDefault="00446EB0" w:rsidP="0059707C">
      <w:pPr>
        <w:rPr>
          <w:color w:val="000000" w:themeColor="text1"/>
        </w:rPr>
      </w:pPr>
      <w:r>
        <w:rPr>
          <w:color w:val="000000" w:themeColor="text1"/>
        </w:rPr>
        <w:t>The Department of Health and Aged Care also received a</w:t>
      </w:r>
      <w:r w:rsidR="00A73AC5">
        <w:rPr>
          <w:color w:val="000000" w:themeColor="text1"/>
        </w:rPr>
        <w:t>n</w:t>
      </w:r>
      <w:r w:rsidR="008349C1">
        <w:rPr>
          <w:color w:val="000000" w:themeColor="text1"/>
        </w:rPr>
        <w:t xml:space="preserve"> application </w:t>
      </w:r>
      <w:r>
        <w:rPr>
          <w:color w:val="000000" w:themeColor="text1"/>
        </w:rPr>
        <w:t>r</w:t>
      </w:r>
      <w:r w:rsidR="008349C1">
        <w:rPr>
          <w:color w:val="000000" w:themeColor="text1"/>
        </w:rPr>
        <w:t>equest</w:t>
      </w:r>
      <w:r>
        <w:rPr>
          <w:color w:val="000000" w:themeColor="text1"/>
        </w:rPr>
        <w:t xml:space="preserve">ing </w:t>
      </w:r>
      <w:r w:rsidR="00315060">
        <w:rPr>
          <w:color w:val="000000" w:themeColor="text1"/>
        </w:rPr>
        <w:t xml:space="preserve">MBS funding </w:t>
      </w:r>
      <w:r w:rsidR="00C604AC">
        <w:rPr>
          <w:color w:val="000000" w:themeColor="text1"/>
        </w:rPr>
        <w:t xml:space="preserve">for </w:t>
      </w:r>
      <w:r w:rsidR="007B0F57" w:rsidRPr="00503CC2">
        <w:rPr>
          <w:i/>
          <w:iCs/>
          <w:color w:val="000000" w:themeColor="text1"/>
        </w:rPr>
        <w:t>gBRCA</w:t>
      </w:r>
      <w:r w:rsidR="007B0F57">
        <w:rPr>
          <w:color w:val="000000" w:themeColor="text1"/>
        </w:rPr>
        <w:t xml:space="preserve"> testing </w:t>
      </w:r>
      <w:r w:rsidR="00166D90">
        <w:rPr>
          <w:color w:val="000000" w:themeColor="text1"/>
        </w:rPr>
        <w:t xml:space="preserve">to </w:t>
      </w:r>
      <w:r w:rsidR="00705FA8" w:rsidRPr="00705FA8">
        <w:rPr>
          <w:color w:val="000000" w:themeColor="text1"/>
        </w:rPr>
        <w:t>determine eligibility for talazoparib</w:t>
      </w:r>
      <w:r w:rsidR="00F87E3E">
        <w:rPr>
          <w:color w:val="000000" w:themeColor="text1"/>
        </w:rPr>
        <w:t xml:space="preserve">, also a </w:t>
      </w:r>
      <w:r w:rsidR="00E9198D">
        <w:rPr>
          <w:color w:val="000000" w:themeColor="text1"/>
        </w:rPr>
        <w:t>PARP inhibitor</w:t>
      </w:r>
      <w:r w:rsidR="00DA121A">
        <w:rPr>
          <w:color w:val="000000" w:themeColor="text1"/>
        </w:rPr>
        <w:t>,</w:t>
      </w:r>
      <w:r w:rsidR="00705FA8" w:rsidRPr="00705FA8">
        <w:rPr>
          <w:color w:val="000000" w:themeColor="text1"/>
        </w:rPr>
        <w:t xml:space="preserve"> treatment in patients</w:t>
      </w:r>
      <w:r w:rsidR="009C5D25">
        <w:rPr>
          <w:color w:val="000000" w:themeColor="text1"/>
        </w:rPr>
        <w:t xml:space="preserve"> with locally advanced or metastatic </w:t>
      </w:r>
      <w:r w:rsidR="00512B91">
        <w:rPr>
          <w:color w:val="000000" w:themeColor="text1"/>
        </w:rPr>
        <w:t>HER2-negative breast cancer</w:t>
      </w:r>
      <w:r w:rsidR="002858CA">
        <w:rPr>
          <w:color w:val="000000" w:themeColor="text1"/>
        </w:rPr>
        <w:t xml:space="preserve"> (MSAC application</w:t>
      </w:r>
      <w:r w:rsidR="0050191A" w:rsidRPr="0050191A">
        <w:t xml:space="preserve"> </w:t>
      </w:r>
      <w:r w:rsidR="00A93122" w:rsidRPr="0069304F">
        <w:t>1568</w:t>
      </w:r>
      <w:r w:rsidR="00A93122">
        <w:rPr>
          <w:rStyle w:val="FootnoteReference"/>
        </w:rPr>
        <w:footnoteReference w:id="3"/>
      </w:r>
      <w:r w:rsidR="0050191A">
        <w:t>)</w:t>
      </w:r>
      <w:r w:rsidR="00F0765C">
        <w:rPr>
          <w:color w:val="000000" w:themeColor="text1"/>
        </w:rPr>
        <w:t xml:space="preserve"> but the application did not progress further.</w:t>
      </w:r>
    </w:p>
    <w:p w14:paraId="6F52500A" w14:textId="66B6E881" w:rsidR="00772829" w:rsidRPr="00CE28E3" w:rsidRDefault="00801332" w:rsidP="002A18BE">
      <w:pPr>
        <w:pStyle w:val="Heading2"/>
        <w:numPr>
          <w:ilvl w:val="0"/>
          <w:numId w:val="0"/>
        </w:numPr>
      </w:pPr>
      <w:bookmarkStart w:id="6" w:name="_Toc69491417"/>
      <w:bookmarkEnd w:id="5"/>
      <w:r>
        <w:t>5</w:t>
      </w:r>
      <w:r w:rsidR="00C36633">
        <w:t>.</w:t>
      </w:r>
      <w:r w:rsidR="00C36633">
        <w:tab/>
      </w:r>
      <w:r w:rsidR="00772829" w:rsidRPr="00CE28E3">
        <w:t>Prerequisites to implementation of any funding advice</w:t>
      </w:r>
      <w:bookmarkEnd w:id="6"/>
    </w:p>
    <w:p w14:paraId="0BCE5320" w14:textId="77777777" w:rsidR="00AB1C1C" w:rsidRPr="00DA75EC" w:rsidRDefault="00AB1C1C" w:rsidP="00AB1C1C">
      <w:pPr>
        <w:pStyle w:val="Heading3"/>
      </w:pPr>
      <w:r w:rsidRPr="00DA75EC">
        <w:t>Test</w:t>
      </w:r>
    </w:p>
    <w:p w14:paraId="3965AC48" w14:textId="2F4414C7" w:rsidR="002D59D0" w:rsidRPr="002D59D0" w:rsidRDefault="002D59D0" w:rsidP="00D010B6">
      <w:r w:rsidRPr="002D59D0">
        <w:t xml:space="preserve">The submission stated that </w:t>
      </w:r>
      <w:r w:rsidR="0059707C">
        <w:t>g</w:t>
      </w:r>
      <w:r w:rsidR="0059707C" w:rsidRPr="0059707C">
        <w:rPr>
          <w:i/>
          <w:iCs/>
        </w:rPr>
        <w:t>B</w:t>
      </w:r>
      <w:r w:rsidRPr="0059707C">
        <w:rPr>
          <w:i/>
          <w:iCs/>
        </w:rPr>
        <w:t>RCA</w:t>
      </w:r>
      <w:r w:rsidRPr="002D59D0">
        <w:t xml:space="preserve"> testing is well established in Australia for patients with breast, ovarian and prostate cancers and reimbursed under MBS item 73296. It is anticipated that increasingly</w:t>
      </w:r>
      <w:r w:rsidR="0059707C">
        <w:t>,</w:t>
      </w:r>
      <w:r w:rsidRPr="002D59D0">
        <w:t xml:space="preserve"> </w:t>
      </w:r>
      <w:r w:rsidR="57B4D15B">
        <w:t xml:space="preserve">patients with </w:t>
      </w:r>
      <w:r w:rsidRPr="002D59D0">
        <w:t xml:space="preserve">recurrent mBC will already know their </w:t>
      </w:r>
      <w:r w:rsidRPr="0059707C">
        <w:rPr>
          <w:i/>
          <w:iCs/>
        </w:rPr>
        <w:t xml:space="preserve">BRCA </w:t>
      </w:r>
      <w:r w:rsidRPr="002D59D0">
        <w:t xml:space="preserve">status following testing in the early setting due to the positive recommendation </w:t>
      </w:r>
      <w:r w:rsidR="00D010B6">
        <w:t xml:space="preserve">for </w:t>
      </w:r>
      <w:r w:rsidRPr="002D59D0">
        <w:t>olaparib in high</w:t>
      </w:r>
      <w:r w:rsidR="0070759B">
        <w:t>-</w:t>
      </w:r>
      <w:r w:rsidRPr="002D59D0">
        <w:t xml:space="preserve">risk </w:t>
      </w:r>
      <w:r w:rsidR="00871922">
        <w:t>eBC</w:t>
      </w:r>
      <w:r w:rsidRPr="002D59D0">
        <w:t>.</w:t>
      </w:r>
    </w:p>
    <w:p w14:paraId="7F2A47D5" w14:textId="3708BEBF" w:rsidR="002D59D0" w:rsidRDefault="002D59D0" w:rsidP="00D010B6">
      <w:r w:rsidRPr="002D59D0">
        <w:t xml:space="preserve">There is no single </w:t>
      </w:r>
      <w:r w:rsidR="007D19CA">
        <w:t>provider of</w:t>
      </w:r>
      <w:r w:rsidRPr="002D59D0">
        <w:t xml:space="preserve"> </w:t>
      </w:r>
      <w:r w:rsidRPr="0059707C">
        <w:rPr>
          <w:i/>
          <w:iCs/>
        </w:rPr>
        <w:t>BRCA</w:t>
      </w:r>
      <w:r w:rsidRPr="002D59D0">
        <w:t xml:space="preserve"> gene </w:t>
      </w:r>
      <w:r w:rsidR="0059707C">
        <w:t>variant</w:t>
      </w:r>
      <w:r w:rsidRPr="002D59D0">
        <w:t xml:space="preserve"> testing in Australia. There are several different Australian molecular pathology service providers that offer g</w:t>
      </w:r>
      <w:r w:rsidRPr="0066027B">
        <w:rPr>
          <w:i/>
          <w:iCs/>
        </w:rPr>
        <w:t>BRCA</w:t>
      </w:r>
      <w:r w:rsidRPr="002D59D0">
        <w:t xml:space="preserve"> testing and more recently, tumour </w:t>
      </w:r>
      <w:r w:rsidRPr="0066027B">
        <w:rPr>
          <w:i/>
          <w:iCs/>
        </w:rPr>
        <w:t>BRCA</w:t>
      </w:r>
      <w:r w:rsidRPr="002D59D0">
        <w:t xml:space="preserve"> testing on a commercial basis. Germline </w:t>
      </w:r>
      <w:r w:rsidRPr="0066027B">
        <w:rPr>
          <w:i/>
          <w:iCs/>
        </w:rPr>
        <w:t>BRCA</w:t>
      </w:r>
      <w:r w:rsidRPr="002D59D0">
        <w:t xml:space="preserve"> testing is available to patients in all States and Territories of Australia via multiple labs located in Queensland, New South Wales, Victoria, South Australia and Western Australia as part of existing ovarian or breast cancer panels. Consequently, more patients will be detected by testing, leading to more equitable access to olaparib for patients with HER2-negative mBC</w:t>
      </w:r>
      <w:r w:rsidR="00D010B6">
        <w:t>.</w:t>
      </w:r>
    </w:p>
    <w:p w14:paraId="2A8EC14E" w14:textId="1A0F4F81" w:rsidR="002D59D0" w:rsidRDefault="00D010B6" w:rsidP="0066027B">
      <w:pPr>
        <w:rPr>
          <w:color w:val="000000" w:themeColor="text1"/>
        </w:rPr>
      </w:pPr>
      <w:r>
        <w:rPr>
          <w:i/>
          <w:iCs/>
        </w:rPr>
        <w:t>BRCA</w:t>
      </w:r>
      <w:r>
        <w:t xml:space="preserve"> testing is well established in a number of laboratories in Australia with external quality assurance available through the European Molecular Genetics Quality Network (</w:t>
      </w:r>
      <w:r w:rsidR="0044183A" w:rsidRPr="0069304F">
        <w:t>1716 PSD November 2023 MSAC meeting</w:t>
      </w:r>
      <w:r w:rsidR="00B20DDD" w:rsidRPr="0069304F">
        <w:rPr>
          <w:vertAlign w:val="superscript"/>
        </w:rPr>
        <w:t>1</w:t>
      </w:r>
      <w:r>
        <w:rPr>
          <w:color w:val="000000" w:themeColor="text1"/>
        </w:rPr>
        <w:t>).</w:t>
      </w:r>
    </w:p>
    <w:p w14:paraId="437BCC36" w14:textId="77777777" w:rsidR="00D64E03" w:rsidRDefault="00454C34" w:rsidP="00E37B04">
      <w:pPr>
        <w:keepNext/>
        <w:keepLines/>
        <w:spacing w:after="0"/>
        <w:rPr>
          <w:color w:val="000000" w:themeColor="text1"/>
        </w:rPr>
      </w:pPr>
      <w:r>
        <w:rPr>
          <w:color w:val="000000" w:themeColor="text1"/>
        </w:rPr>
        <w:lastRenderedPageBreak/>
        <w:t xml:space="preserve">The TGA-approved Product Information for </w:t>
      </w:r>
      <w:r w:rsidR="00D64E03">
        <w:rPr>
          <w:color w:val="000000" w:themeColor="text1"/>
        </w:rPr>
        <w:t>o</w:t>
      </w:r>
      <w:r w:rsidR="006F42F2">
        <w:rPr>
          <w:color w:val="000000" w:themeColor="text1"/>
        </w:rPr>
        <w:t>laparib states that</w:t>
      </w:r>
      <w:r w:rsidR="00D64E03">
        <w:rPr>
          <w:color w:val="000000" w:themeColor="text1"/>
        </w:rPr>
        <w:t xml:space="preserve">: </w:t>
      </w:r>
    </w:p>
    <w:p w14:paraId="6C3914FF" w14:textId="3C28E749" w:rsidR="00DA3F96" w:rsidRDefault="00994C02" w:rsidP="00E37B04">
      <w:pPr>
        <w:keepNext/>
        <w:keepLines/>
        <w:ind w:left="720"/>
        <w:rPr>
          <w:rFonts w:ascii="Arial" w:hAnsi="Arial" w:cs="Arial"/>
          <w:color w:val="000000" w:themeColor="text1"/>
          <w:sz w:val="20"/>
          <w:szCs w:val="20"/>
        </w:rPr>
      </w:pPr>
      <w:r w:rsidRPr="007543F6">
        <w:rPr>
          <w:rFonts w:ascii="Arial" w:hAnsi="Arial" w:cs="Arial"/>
          <w:color w:val="000000" w:themeColor="text1"/>
          <w:sz w:val="20"/>
          <w:szCs w:val="20"/>
        </w:rPr>
        <w:t>Companion diagnostic (CDx) testing using an in vitro diagnostic (IVD), including notified assays performed by a NATA accredited laboratory, is essential for the use of olaparib to be safe and effective in indications that are BRCA and/or HRD specific. Where specified in the indication, confirmation of the relevant BRCA mutation (BRCAm) or HRD status must be obtained prior to initiating treatment</w:t>
      </w:r>
      <w:r w:rsidR="00D64E03" w:rsidRPr="007543F6">
        <w:rPr>
          <w:rFonts w:ascii="Arial" w:hAnsi="Arial" w:cs="Arial"/>
          <w:color w:val="000000" w:themeColor="text1"/>
          <w:sz w:val="20"/>
          <w:szCs w:val="20"/>
        </w:rPr>
        <w:t xml:space="preserve"> (p2, </w:t>
      </w:r>
      <w:r w:rsidR="00E10F25" w:rsidRPr="007543F6">
        <w:rPr>
          <w:rFonts w:ascii="Arial" w:hAnsi="Arial" w:cs="Arial"/>
          <w:color w:val="000000" w:themeColor="text1"/>
          <w:sz w:val="20"/>
          <w:szCs w:val="20"/>
        </w:rPr>
        <w:t>Olaparib P</w:t>
      </w:r>
      <w:r w:rsidR="00592F95" w:rsidRPr="007543F6">
        <w:rPr>
          <w:rFonts w:ascii="Arial" w:hAnsi="Arial" w:cs="Arial"/>
          <w:color w:val="000000" w:themeColor="text1"/>
          <w:sz w:val="20"/>
          <w:szCs w:val="20"/>
        </w:rPr>
        <w:t xml:space="preserve">I, </w:t>
      </w:r>
      <w:r w:rsidR="00FE5C11" w:rsidRPr="007543F6">
        <w:rPr>
          <w:rFonts w:ascii="Arial" w:hAnsi="Arial" w:cs="Arial"/>
          <w:color w:val="000000" w:themeColor="text1"/>
          <w:sz w:val="20"/>
          <w:szCs w:val="20"/>
        </w:rPr>
        <w:t>February 2024).</w:t>
      </w:r>
    </w:p>
    <w:p w14:paraId="7301A947" w14:textId="3DF6D046" w:rsidR="00F71F76" w:rsidRPr="00B86245" w:rsidRDefault="00F71F76" w:rsidP="00F71F76">
      <w:pPr>
        <w:rPr>
          <w:rFonts w:cs="Arial"/>
          <w:color w:val="000000" w:themeColor="text1"/>
        </w:rPr>
      </w:pPr>
      <w:r w:rsidRPr="007543F6">
        <w:rPr>
          <w:rFonts w:cs="Arial"/>
          <w:color w:val="000000" w:themeColor="text1"/>
        </w:rPr>
        <w:t xml:space="preserve">In the pivotal </w:t>
      </w:r>
      <w:r w:rsidR="00003623" w:rsidRPr="007543F6">
        <w:rPr>
          <w:rFonts w:cs="Arial"/>
          <w:color w:val="000000" w:themeColor="text1"/>
        </w:rPr>
        <w:t>OlympiAD trial (</w:t>
      </w:r>
      <w:r w:rsidR="008577F9" w:rsidRPr="007543F6">
        <w:rPr>
          <w:rFonts w:cs="Arial"/>
          <w:color w:val="000000" w:themeColor="text1"/>
        </w:rPr>
        <w:t xml:space="preserve">NCT02000622), </w:t>
      </w:r>
      <w:r w:rsidRPr="007543F6">
        <w:rPr>
          <w:rFonts w:cs="Arial"/>
          <w:color w:val="000000" w:themeColor="text1"/>
        </w:rPr>
        <w:t xml:space="preserve">germline </w:t>
      </w:r>
      <w:r w:rsidRPr="007543F6">
        <w:rPr>
          <w:rFonts w:cs="Arial"/>
          <w:i/>
          <w:color w:val="000000" w:themeColor="text1"/>
        </w:rPr>
        <w:t>BRCA</w:t>
      </w:r>
      <w:r w:rsidRPr="007543F6">
        <w:rPr>
          <w:rFonts w:cs="Arial"/>
          <w:color w:val="000000" w:themeColor="text1"/>
        </w:rPr>
        <w:t xml:space="preserve"> mutation was detected by central testing with BRC</w:t>
      </w:r>
      <w:r w:rsidR="009E4DE5">
        <w:rPr>
          <w:rFonts w:cs="Arial"/>
          <w:color w:val="000000" w:themeColor="text1"/>
        </w:rPr>
        <w:t>A</w:t>
      </w:r>
      <w:r w:rsidRPr="007543F6">
        <w:rPr>
          <w:rFonts w:cs="Arial"/>
          <w:color w:val="000000" w:themeColor="text1"/>
        </w:rPr>
        <w:t>Analysis (Myriad Genetics) in 297 patients and by local testing in 167 patients (with confirmation by central testing with BRC</w:t>
      </w:r>
      <w:r w:rsidR="009E4DE5">
        <w:rPr>
          <w:rFonts w:cs="Arial"/>
          <w:color w:val="000000" w:themeColor="text1"/>
        </w:rPr>
        <w:t>A</w:t>
      </w:r>
      <w:r w:rsidRPr="007543F6">
        <w:rPr>
          <w:rFonts w:cs="Arial"/>
          <w:color w:val="000000" w:themeColor="text1"/>
        </w:rPr>
        <w:t>Analysis in all but 5 of those patients.</w:t>
      </w:r>
      <w:r w:rsidR="0036309B" w:rsidRPr="007543F6">
        <w:rPr>
          <w:rStyle w:val="FootnoteReference"/>
          <w:rFonts w:cs="Arial"/>
          <w:color w:val="000000" w:themeColor="text1"/>
        </w:rPr>
        <w:footnoteReference w:id="4"/>
      </w:r>
    </w:p>
    <w:p w14:paraId="69ED47F8" w14:textId="77777777" w:rsidR="007A556F" w:rsidRPr="00DA75EC" w:rsidRDefault="007A556F" w:rsidP="007A556F">
      <w:pPr>
        <w:pStyle w:val="Heading3"/>
      </w:pPr>
      <w:r>
        <w:t>Codependent drug</w:t>
      </w:r>
    </w:p>
    <w:p w14:paraId="344DCCC2" w14:textId="5869D7D0" w:rsidR="002B5BC0" w:rsidRDefault="002D59D0" w:rsidP="0066027B">
      <w:pPr>
        <w:rPr>
          <w:color w:val="000000" w:themeColor="text1"/>
        </w:rPr>
      </w:pPr>
      <w:r>
        <w:rPr>
          <w:color w:val="000000" w:themeColor="text1"/>
        </w:rPr>
        <w:t>Olaparib is TGA</w:t>
      </w:r>
      <w:r w:rsidR="00C9243F">
        <w:rPr>
          <w:color w:val="000000" w:themeColor="text1"/>
        </w:rPr>
        <w:t>-</w:t>
      </w:r>
      <w:r>
        <w:rPr>
          <w:color w:val="000000" w:themeColor="text1"/>
        </w:rPr>
        <w:t xml:space="preserve">registered </w:t>
      </w:r>
      <w:r w:rsidR="0050191A">
        <w:rPr>
          <w:color w:val="000000" w:themeColor="text1"/>
        </w:rPr>
        <w:t>(</w:t>
      </w:r>
      <w:r w:rsidR="000820E6" w:rsidRPr="0069304F">
        <w:t>Olaparib Product Information</w:t>
      </w:r>
      <w:r w:rsidR="000820E6">
        <w:rPr>
          <w:rStyle w:val="FootnoteReference"/>
        </w:rPr>
        <w:footnoteReference w:id="5"/>
      </w:r>
      <w:r w:rsidR="0050191A">
        <w:rPr>
          <w:color w:val="000000" w:themeColor="text1"/>
        </w:rPr>
        <w:t xml:space="preserve">) </w:t>
      </w:r>
      <w:r>
        <w:rPr>
          <w:color w:val="000000" w:themeColor="text1"/>
        </w:rPr>
        <w:t>as</w:t>
      </w:r>
      <w:r w:rsidRPr="002D59D0">
        <w:rPr>
          <w:color w:val="000000" w:themeColor="text1"/>
        </w:rPr>
        <w:t xml:space="preserve"> monotherapy</w:t>
      </w:r>
      <w:r w:rsidR="002B5BC0">
        <w:rPr>
          <w:color w:val="000000" w:themeColor="text1"/>
        </w:rPr>
        <w:t xml:space="preserve"> in breast cancer</w:t>
      </w:r>
      <w:r w:rsidRPr="002D59D0">
        <w:rPr>
          <w:color w:val="000000" w:themeColor="text1"/>
        </w:rPr>
        <w:t xml:space="preserve"> for</w:t>
      </w:r>
      <w:r w:rsidR="002B5BC0">
        <w:rPr>
          <w:color w:val="000000" w:themeColor="text1"/>
        </w:rPr>
        <w:t>:</w:t>
      </w:r>
    </w:p>
    <w:p w14:paraId="03A8A50F" w14:textId="27553C29" w:rsidR="002B5BC0" w:rsidRPr="00583870" w:rsidRDefault="002B5BC0" w:rsidP="00FF07E6">
      <w:pPr>
        <w:pStyle w:val="ListParagraph"/>
        <w:numPr>
          <w:ilvl w:val="0"/>
          <w:numId w:val="23"/>
        </w:numPr>
        <w:ind w:left="284" w:hanging="284"/>
        <w:rPr>
          <w:color w:val="000000" w:themeColor="text1"/>
        </w:rPr>
      </w:pPr>
      <w:r w:rsidRPr="002B5BC0">
        <w:rPr>
          <w:color w:val="000000" w:themeColor="text1"/>
        </w:rPr>
        <w:t>adjuvant treatment of adult patients who have HER2-negative, high-risk early breast cancer with</w:t>
      </w:r>
      <w:r>
        <w:rPr>
          <w:color w:val="000000" w:themeColor="text1"/>
        </w:rPr>
        <w:t xml:space="preserve"> </w:t>
      </w:r>
      <w:r w:rsidRPr="00583870">
        <w:rPr>
          <w:color w:val="000000" w:themeColor="text1"/>
        </w:rPr>
        <w:t xml:space="preserve">a deleterious or suspected deleterious germline </w:t>
      </w:r>
      <w:r w:rsidRPr="007543F6">
        <w:rPr>
          <w:i/>
          <w:iCs/>
          <w:color w:val="000000" w:themeColor="text1"/>
        </w:rPr>
        <w:t>BRCA</w:t>
      </w:r>
      <w:r w:rsidRPr="00583870">
        <w:rPr>
          <w:color w:val="000000" w:themeColor="text1"/>
        </w:rPr>
        <w:t xml:space="preserve"> mutation (g</w:t>
      </w:r>
      <w:r w:rsidRPr="007543F6">
        <w:rPr>
          <w:i/>
          <w:iCs/>
          <w:color w:val="000000" w:themeColor="text1"/>
        </w:rPr>
        <w:t>BRCA</w:t>
      </w:r>
      <w:r w:rsidRPr="00583870">
        <w:rPr>
          <w:color w:val="000000" w:themeColor="text1"/>
        </w:rPr>
        <w:t>m), for which they have</w:t>
      </w:r>
      <w:r>
        <w:rPr>
          <w:color w:val="000000" w:themeColor="text1"/>
        </w:rPr>
        <w:t xml:space="preserve"> </w:t>
      </w:r>
      <w:r w:rsidRPr="00583870">
        <w:rPr>
          <w:color w:val="000000" w:themeColor="text1"/>
        </w:rPr>
        <w:t>previously been treated with neoadjuvant or adjuvant chemotherapy.</w:t>
      </w:r>
    </w:p>
    <w:p w14:paraId="63574EAD" w14:textId="642B6827" w:rsidR="002D59D0" w:rsidRDefault="000E25B6" w:rsidP="00FF07E6">
      <w:pPr>
        <w:pStyle w:val="ListParagraph"/>
        <w:numPr>
          <w:ilvl w:val="0"/>
          <w:numId w:val="23"/>
        </w:numPr>
        <w:ind w:left="284" w:hanging="284"/>
        <w:rPr>
          <w:color w:val="000000" w:themeColor="text1"/>
        </w:rPr>
      </w:pPr>
      <w:r>
        <w:rPr>
          <w:color w:val="000000" w:themeColor="text1"/>
        </w:rPr>
        <w:t>t</w:t>
      </w:r>
      <w:r w:rsidR="002B5BC0" w:rsidRPr="002B5BC0">
        <w:rPr>
          <w:color w:val="000000" w:themeColor="text1"/>
        </w:rPr>
        <w:t xml:space="preserve">reatment of </w:t>
      </w:r>
      <w:r w:rsidR="002D59D0" w:rsidRPr="00583870">
        <w:rPr>
          <w:color w:val="000000" w:themeColor="text1"/>
        </w:rPr>
        <w:t xml:space="preserve">adult patients who have HER2-negative </w:t>
      </w:r>
      <w:r w:rsidR="00871922" w:rsidRPr="00583870">
        <w:rPr>
          <w:color w:val="000000" w:themeColor="text1"/>
        </w:rPr>
        <w:t>mBC</w:t>
      </w:r>
      <w:r w:rsidR="002D59D0" w:rsidRPr="00583870">
        <w:rPr>
          <w:color w:val="000000" w:themeColor="text1"/>
        </w:rPr>
        <w:t xml:space="preserve"> with a deleterious or suspected deleterious germline </w:t>
      </w:r>
      <w:r w:rsidR="002D59D0" w:rsidRPr="00583870">
        <w:rPr>
          <w:i/>
          <w:iCs/>
          <w:color w:val="000000" w:themeColor="text1"/>
        </w:rPr>
        <w:t>BRCA</w:t>
      </w:r>
      <w:r w:rsidR="002D59D0" w:rsidRPr="00583870">
        <w:rPr>
          <w:color w:val="000000" w:themeColor="text1"/>
        </w:rPr>
        <w:t xml:space="preserve"> </w:t>
      </w:r>
      <w:r w:rsidR="00871922" w:rsidRPr="00583870">
        <w:rPr>
          <w:color w:val="000000" w:themeColor="text1"/>
        </w:rPr>
        <w:t xml:space="preserve">variant </w:t>
      </w:r>
      <w:r w:rsidR="002D59D0" w:rsidRPr="00583870">
        <w:rPr>
          <w:color w:val="000000" w:themeColor="text1"/>
        </w:rPr>
        <w:t>(g</w:t>
      </w:r>
      <w:r w:rsidR="002D59D0" w:rsidRPr="00583870">
        <w:rPr>
          <w:i/>
          <w:iCs/>
          <w:color w:val="000000" w:themeColor="text1"/>
        </w:rPr>
        <w:t>BRCA</w:t>
      </w:r>
      <w:r w:rsidR="002D59D0" w:rsidRPr="00583870">
        <w:rPr>
          <w:color w:val="000000" w:themeColor="text1"/>
        </w:rPr>
        <w:t>m), for which they have previously been treated with chemotherapy in the neoadjuvant, adjuvant or metastatic setting.</w:t>
      </w:r>
    </w:p>
    <w:p w14:paraId="30943A35" w14:textId="51A8F270" w:rsidR="002B5BC0" w:rsidRPr="00583870" w:rsidRDefault="002B5BC0" w:rsidP="002B5BC0">
      <w:pPr>
        <w:rPr>
          <w:color w:val="000000" w:themeColor="text1"/>
        </w:rPr>
      </w:pPr>
      <w:r>
        <w:rPr>
          <w:color w:val="000000" w:themeColor="text1"/>
        </w:rPr>
        <w:t xml:space="preserve">Olaparib is also registered as monotherapy or as part of combination therapy in indications for ovarian cancer, adenocarcinoma of the pancreas and prostate cancer. </w:t>
      </w:r>
    </w:p>
    <w:p w14:paraId="44C3B242" w14:textId="07733C52" w:rsidR="00772829" w:rsidRDefault="00801332" w:rsidP="002A18BE">
      <w:pPr>
        <w:pStyle w:val="Heading2"/>
        <w:numPr>
          <w:ilvl w:val="0"/>
          <w:numId w:val="0"/>
        </w:numPr>
      </w:pPr>
      <w:bookmarkStart w:id="7" w:name="_Toc69491418"/>
      <w:r>
        <w:t>6</w:t>
      </w:r>
      <w:r w:rsidR="00C36633">
        <w:t>.</w:t>
      </w:r>
      <w:r w:rsidR="00C36633">
        <w:tab/>
      </w:r>
      <w:r w:rsidR="00772829" w:rsidRPr="00CE28E3">
        <w:t>Proposal for public funding</w:t>
      </w:r>
      <w:bookmarkEnd w:id="7"/>
    </w:p>
    <w:p w14:paraId="6AA88372" w14:textId="2569AC4F" w:rsidR="007C2A19" w:rsidRDefault="003F5FD4" w:rsidP="0066027B">
      <w:r>
        <w:fldChar w:fldCharType="begin"/>
      </w:r>
      <w:r>
        <w:instrText xml:space="preserve"> REF _Ref171431214 \h </w:instrText>
      </w:r>
      <w:r>
        <w:fldChar w:fldCharType="separate"/>
      </w:r>
      <w:r w:rsidR="00325DE1">
        <w:t xml:space="preserve">Table </w:t>
      </w:r>
      <w:r w:rsidR="00325DE1">
        <w:rPr>
          <w:noProof/>
        </w:rPr>
        <w:t>3</w:t>
      </w:r>
      <w:r>
        <w:fldChar w:fldCharType="end"/>
      </w:r>
      <w:r>
        <w:t xml:space="preserve"> presents the </w:t>
      </w:r>
      <w:r w:rsidR="00AD42B5">
        <w:t>current item descriptor for MBS</w:t>
      </w:r>
      <w:r w:rsidR="00C8235C">
        <w:t xml:space="preserve"> 732</w:t>
      </w:r>
      <w:r w:rsidR="00F53581">
        <w:t xml:space="preserve">95 </w:t>
      </w:r>
      <w:r w:rsidR="00D74017">
        <w:t xml:space="preserve">(including newly implemented changes from 1 July 2024) </w:t>
      </w:r>
      <w:r w:rsidR="00F53581">
        <w:t xml:space="preserve">and </w:t>
      </w:r>
      <w:r w:rsidR="00523485">
        <w:t>the proposed amendment</w:t>
      </w:r>
      <w:r w:rsidR="009C3AB5">
        <w:t>s</w:t>
      </w:r>
      <w:r w:rsidR="00523485">
        <w:t xml:space="preserve">. </w:t>
      </w:r>
      <w:r w:rsidR="00F53581">
        <w:fldChar w:fldCharType="begin"/>
      </w:r>
      <w:r w:rsidR="00F53581">
        <w:instrText xml:space="preserve"> REF _Ref171431314 \h </w:instrText>
      </w:r>
      <w:r w:rsidR="00F53581">
        <w:fldChar w:fldCharType="separate"/>
      </w:r>
      <w:r w:rsidR="00325DE1">
        <w:t xml:space="preserve">Table </w:t>
      </w:r>
      <w:r w:rsidR="00325DE1">
        <w:rPr>
          <w:noProof/>
        </w:rPr>
        <w:t>4</w:t>
      </w:r>
      <w:r w:rsidR="00F53581">
        <w:fldChar w:fldCharType="end"/>
      </w:r>
      <w:r w:rsidR="00F53581">
        <w:t xml:space="preserve"> </w:t>
      </w:r>
      <w:r w:rsidR="00230B06">
        <w:t xml:space="preserve">presents the proposed </w:t>
      </w:r>
      <w:r w:rsidR="007C2A19">
        <w:t>amendment in the submission</w:t>
      </w:r>
      <w:r w:rsidR="00400448">
        <w:t xml:space="preserve">, based on item descriptor prior </w:t>
      </w:r>
      <w:r w:rsidR="00010DD3">
        <w:t>to 1 July 2024</w:t>
      </w:r>
      <w:r w:rsidR="004654B1">
        <w:t>.</w:t>
      </w:r>
    </w:p>
    <w:p w14:paraId="2354ED64" w14:textId="62041203" w:rsidR="008F4C2A" w:rsidRPr="007543F6" w:rsidRDefault="00301B82" w:rsidP="007543F6">
      <w:pPr>
        <w:pStyle w:val="Caption"/>
        <w:rPr>
          <w:color w:val="FF0000"/>
        </w:rPr>
      </w:pPr>
      <w:bookmarkStart w:id="8" w:name="_Ref171431214"/>
      <w:r>
        <w:lastRenderedPageBreak/>
        <w:t xml:space="preserve">Table </w:t>
      </w:r>
      <w:r w:rsidR="008F6B43">
        <w:fldChar w:fldCharType="begin"/>
      </w:r>
      <w:r w:rsidR="008F6B43">
        <w:instrText xml:space="preserve"> SEQ Table \* ARABIC </w:instrText>
      </w:r>
      <w:r w:rsidR="008F6B43">
        <w:fldChar w:fldCharType="separate"/>
      </w:r>
      <w:r w:rsidR="00325DE1">
        <w:rPr>
          <w:noProof/>
        </w:rPr>
        <w:t>3</w:t>
      </w:r>
      <w:r w:rsidR="008F6B43">
        <w:rPr>
          <w:noProof/>
        </w:rPr>
        <w:fldChar w:fldCharType="end"/>
      </w:r>
      <w:bookmarkEnd w:id="8"/>
      <w:r>
        <w:tab/>
      </w:r>
      <w:r w:rsidR="0010107D">
        <w:t xml:space="preserve">MBS </w:t>
      </w:r>
      <w:r w:rsidR="00DB21B1">
        <w:t>73295 - c</w:t>
      </w:r>
      <w:r w:rsidR="00A34FC5">
        <w:t xml:space="preserve">urrent item descriptor </w:t>
      </w:r>
      <w:r w:rsidR="006619C0">
        <w:t>(w.e.f.</w:t>
      </w:r>
      <w:r w:rsidR="00E450A5">
        <w:t xml:space="preserve"> 1 July 2024)</w:t>
      </w:r>
      <w:r w:rsidR="004869CC">
        <w:t>,</w:t>
      </w:r>
      <w:r w:rsidR="006619C0">
        <w:t xml:space="preserve"> </w:t>
      </w:r>
      <w:r w:rsidR="00173418">
        <w:t>the applicant’s</w:t>
      </w:r>
      <w:r w:rsidR="0016729E">
        <w:t xml:space="preserve"> proposed amendment (</w:t>
      </w:r>
      <w:r w:rsidR="0016729E" w:rsidRPr="007543F6">
        <w:rPr>
          <w:u w:val="single"/>
        </w:rPr>
        <w:t>underlined</w:t>
      </w:r>
      <w:r w:rsidR="0016729E">
        <w:t>)</w:t>
      </w:r>
      <w:r w:rsidR="006619C0">
        <w:t xml:space="preserve"> and </w:t>
      </w:r>
      <w:r w:rsidR="001B35F5">
        <w:t>the</w:t>
      </w:r>
      <w:r w:rsidR="0033714F">
        <w:t xml:space="preserve"> </w:t>
      </w:r>
      <w:r w:rsidR="00DD33FB">
        <w:t>department</w:t>
      </w:r>
      <w:r w:rsidR="0000428D">
        <w:t>’s</w:t>
      </w:r>
      <w:r w:rsidR="001B35F5">
        <w:t xml:space="preserve"> </w:t>
      </w:r>
      <w:r w:rsidR="006619C0">
        <w:t xml:space="preserve">proposed amendment </w:t>
      </w:r>
      <w:r w:rsidR="00B92182">
        <w:t>(</w:t>
      </w:r>
      <w:r w:rsidR="00B92182">
        <w:rPr>
          <w:color w:val="FF0000"/>
        </w:rPr>
        <w:t>red texts</w:t>
      </w:r>
      <w:r w:rsidR="00B92182" w:rsidRPr="007543F6">
        <w:rPr>
          <w:color w:val="000000" w:themeColor="text1"/>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8F4C2A" w:rsidRPr="004D70F4" w14:paraId="7F3F838E" w14:textId="77777777" w:rsidTr="00D5688C">
        <w:trPr>
          <w:trHeight w:val="351"/>
          <w:tblHeader/>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706E0" w14:textId="77777777" w:rsidR="008F4C2A" w:rsidRPr="004D70F4" w:rsidRDefault="008F4C2A" w:rsidP="00D5688C">
            <w:pPr>
              <w:pStyle w:val="Tabletext0"/>
              <w:keepNext/>
              <w:rPr>
                <w:b/>
                <w:bCs/>
              </w:rPr>
            </w:pPr>
            <w:r w:rsidRPr="004D70F4">
              <w:rPr>
                <w:b/>
                <w:bCs/>
              </w:rPr>
              <w:t>Category 6 – Pathology Services</w:t>
            </w:r>
          </w:p>
        </w:tc>
      </w:tr>
      <w:tr w:rsidR="008F4C2A" w:rsidRPr="004D70F4" w14:paraId="254F86F3" w14:textId="77777777" w:rsidTr="00D5688C">
        <w:trPr>
          <w:trHeight w:val="351"/>
          <w:tblHeader/>
        </w:trPr>
        <w:tc>
          <w:tcPr>
            <w:tcW w:w="2500" w:type="pct"/>
            <w:tcBorders>
              <w:top w:val="single" w:sz="4" w:space="0" w:color="000000" w:themeColor="text1"/>
              <w:left w:val="single" w:sz="4" w:space="0" w:color="000000" w:themeColor="text1"/>
              <w:bottom w:val="single" w:sz="4" w:space="0" w:color="000000" w:themeColor="text1"/>
              <w:right w:val="nil"/>
            </w:tcBorders>
          </w:tcPr>
          <w:p w14:paraId="42A6EA07" w14:textId="77777777" w:rsidR="008F4C2A" w:rsidRPr="004D70F4" w:rsidRDefault="008F4C2A" w:rsidP="00D5688C">
            <w:pPr>
              <w:pStyle w:val="Tabletext0"/>
              <w:keepNext/>
              <w:rPr>
                <w:b/>
                <w:bCs/>
              </w:rPr>
            </w:pPr>
            <w:r w:rsidRPr="004D70F4">
              <w:rPr>
                <w:b/>
                <w:bCs/>
              </w:rPr>
              <w:t>MBS item 73295</w:t>
            </w:r>
          </w:p>
        </w:tc>
        <w:tc>
          <w:tcPr>
            <w:tcW w:w="2500" w:type="pct"/>
            <w:tcBorders>
              <w:top w:val="single" w:sz="4" w:space="0" w:color="000000" w:themeColor="text1"/>
              <w:left w:val="nil"/>
              <w:bottom w:val="single" w:sz="4" w:space="0" w:color="000000" w:themeColor="text1"/>
              <w:right w:val="single" w:sz="4" w:space="0" w:color="000000" w:themeColor="text1"/>
            </w:tcBorders>
          </w:tcPr>
          <w:p w14:paraId="186CE9BC" w14:textId="77777777" w:rsidR="008F4C2A" w:rsidRPr="004D70F4" w:rsidRDefault="008F4C2A" w:rsidP="00D5688C">
            <w:pPr>
              <w:pStyle w:val="Tabletext0"/>
              <w:keepNext/>
              <w:jc w:val="right"/>
              <w:rPr>
                <w:b/>
                <w:bCs/>
              </w:rPr>
            </w:pPr>
            <w:r w:rsidRPr="004D70F4">
              <w:rPr>
                <w:b/>
                <w:bCs/>
              </w:rPr>
              <w:t>Group P7 – Genetics</w:t>
            </w:r>
          </w:p>
        </w:tc>
      </w:tr>
      <w:tr w:rsidR="008F4C2A" w:rsidRPr="004D70F4" w14:paraId="15588429" w14:textId="77777777" w:rsidTr="00D5688C">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9C4C7" w14:textId="77777777" w:rsidR="00301B82" w:rsidRDefault="00301B82" w:rsidP="00301B82">
            <w:pPr>
              <w:pStyle w:val="Tabletext0"/>
              <w:keepNext/>
            </w:pPr>
            <w:r>
              <w:t>Detection of germline BRCA1 or BRCA2 pathogenic or likely pathogenic gene variants, requested by a specialist or consultant physician, to determine eligibility for treatment with a poly (adenosine diphosphate [ADP]-ribose) polymerase (PARP) inhibitor under the Pharmaceutical Benefits Scheme (PBS), in a patient with:</w:t>
            </w:r>
          </w:p>
          <w:p w14:paraId="7500AA69" w14:textId="6DCDE3E3" w:rsidR="00301B82" w:rsidRDefault="00ED168A" w:rsidP="007543F6">
            <w:pPr>
              <w:pStyle w:val="Tabletext0"/>
              <w:keepNext/>
              <w:ind w:left="360"/>
            </w:pPr>
            <w:r w:rsidRPr="00ED168A">
              <w:t>a)</w:t>
            </w:r>
            <w:r>
              <w:t xml:space="preserve"> </w:t>
            </w:r>
            <w:r w:rsidR="00301B82">
              <w:t xml:space="preserve">advanced (FIGO III-IV) high-grade serous or high-grade epithelial ovarian, fallopian tube or primary peritoneal </w:t>
            </w:r>
            <w:r>
              <w:t xml:space="preserve">        </w:t>
            </w:r>
            <w:r w:rsidR="00301B82">
              <w:t>cancer for whom testing of tumour tissue is not feasible; or</w:t>
            </w:r>
          </w:p>
          <w:p w14:paraId="65833BCE" w14:textId="0750FB4D" w:rsidR="00301B82" w:rsidRDefault="00ED168A" w:rsidP="007543F6">
            <w:pPr>
              <w:pStyle w:val="Tabletext0"/>
              <w:keepNext/>
              <w:ind w:left="360"/>
            </w:pPr>
            <w:r>
              <w:t xml:space="preserve">b) </w:t>
            </w:r>
            <w:r w:rsidR="00301B82">
              <w:t>triple negative early breast cancer; or</w:t>
            </w:r>
          </w:p>
          <w:p w14:paraId="5C98A05D" w14:textId="0D92D6A4" w:rsidR="00197786" w:rsidRDefault="003F67E0" w:rsidP="007543F6">
            <w:pPr>
              <w:pStyle w:val="Tabletext0"/>
              <w:keepNext/>
              <w:rPr>
                <w:color w:val="000000" w:themeColor="text1"/>
              </w:rPr>
            </w:pPr>
            <w:r>
              <w:t xml:space="preserve">        c) </w:t>
            </w:r>
            <w:r w:rsidR="00301B82">
              <w:t>hormone receptor positive, HER2-negative, early breast cancer with one or more high-risk characteristics</w:t>
            </w:r>
            <w:r w:rsidR="00B2668F">
              <w:t xml:space="preserve">; </w:t>
            </w:r>
            <w:r w:rsidR="00B77A3A">
              <w:t>or</w:t>
            </w:r>
          </w:p>
          <w:p w14:paraId="1CD99537" w14:textId="34DAB7DD" w:rsidR="00331D11" w:rsidRPr="00197786" w:rsidRDefault="00DC5EB8" w:rsidP="007543F6">
            <w:pPr>
              <w:pStyle w:val="Tabletext0"/>
              <w:keepNext/>
              <w:ind w:left="360"/>
              <w:rPr>
                <w:color w:val="FF0000"/>
              </w:rPr>
            </w:pPr>
            <w:r>
              <w:rPr>
                <w:color w:val="000000" w:themeColor="text1"/>
                <w:u w:val="single"/>
              </w:rPr>
              <w:t xml:space="preserve">d) </w:t>
            </w:r>
            <w:r w:rsidR="00331D11" w:rsidRPr="007543F6">
              <w:rPr>
                <w:color w:val="000000" w:themeColor="text1"/>
                <w:u w:val="single"/>
              </w:rPr>
              <w:t>HER2-negative metastatic breast cancer who</w:t>
            </w:r>
            <w:r w:rsidR="00331D11" w:rsidRPr="007543F6">
              <w:rPr>
                <w:color w:val="FF0000"/>
                <w:u w:val="single"/>
              </w:rPr>
              <w:t xml:space="preserve"> ha</w:t>
            </w:r>
            <w:r w:rsidR="00C34DAD" w:rsidRPr="007543F6">
              <w:rPr>
                <w:color w:val="FF0000"/>
                <w:u w:val="single"/>
              </w:rPr>
              <w:t>s</w:t>
            </w:r>
            <w:r w:rsidR="00331D11" w:rsidRPr="007543F6">
              <w:rPr>
                <w:color w:val="000000" w:themeColor="text1"/>
                <w:u w:val="single"/>
              </w:rPr>
              <w:t xml:space="preserve"> received prior (neo)adjuvant chemotherapy</w:t>
            </w:r>
            <w:r w:rsidR="00B2668F" w:rsidRPr="007543F6">
              <w:rPr>
                <w:color w:val="000000" w:themeColor="text1"/>
                <w:u w:val="single"/>
              </w:rPr>
              <w:t>;</w:t>
            </w:r>
            <w:r w:rsidR="00B2668F" w:rsidRPr="007543F6">
              <w:rPr>
                <w:color w:val="000000" w:themeColor="text1"/>
              </w:rPr>
              <w:t xml:space="preserve"> </w:t>
            </w:r>
            <w:r w:rsidR="00B2668F" w:rsidRPr="00197786">
              <w:rPr>
                <w:color w:val="FF0000"/>
              </w:rPr>
              <w:t>or</w:t>
            </w:r>
            <w:r w:rsidR="00331D11" w:rsidRPr="007543F6">
              <w:rPr>
                <w:color w:val="FF0000"/>
              </w:rPr>
              <w:t xml:space="preserve"> </w:t>
            </w:r>
          </w:p>
          <w:p w14:paraId="1F76EB96" w14:textId="0273E5A6" w:rsidR="00301B82" w:rsidRPr="00E37B04" w:rsidRDefault="00DC5EB8" w:rsidP="00E37B04">
            <w:pPr>
              <w:pStyle w:val="Tabletext0"/>
              <w:keepNext/>
              <w:spacing w:after="120"/>
              <w:ind w:left="357"/>
              <w:rPr>
                <w:color w:val="FF0000"/>
              </w:rPr>
            </w:pPr>
            <w:r>
              <w:rPr>
                <w:color w:val="FF0000"/>
              </w:rPr>
              <w:t>e</w:t>
            </w:r>
            <w:r w:rsidR="003F67E0">
              <w:rPr>
                <w:color w:val="FF0000"/>
              </w:rPr>
              <w:t xml:space="preserve">) </w:t>
            </w:r>
            <w:r w:rsidR="00B2668F">
              <w:rPr>
                <w:color w:val="FF0000"/>
              </w:rPr>
              <w:t>de novo metastatic HER2-negative breast cancer.</w:t>
            </w:r>
          </w:p>
          <w:p w14:paraId="54E3A4FA" w14:textId="4A9C81B0" w:rsidR="00301B82" w:rsidRDefault="00301B82" w:rsidP="00E37B04">
            <w:pPr>
              <w:pStyle w:val="Tabletext0"/>
              <w:keepNext/>
              <w:spacing w:before="120" w:after="120"/>
            </w:pPr>
            <w:r>
              <w:t xml:space="preserve">Applicable once per lifetime. </w:t>
            </w:r>
          </w:p>
          <w:p w14:paraId="0A223648" w14:textId="05C7FECA" w:rsidR="00301B82" w:rsidRDefault="00301B82" w:rsidP="00E37B04">
            <w:pPr>
              <w:pStyle w:val="Tabletext0"/>
              <w:keepNext/>
              <w:spacing w:after="120"/>
            </w:pPr>
            <w:r>
              <w:t>Fee: $1,200.00 Benefit: 75% = $900.00 85% = $1,101.30</w:t>
            </w:r>
            <w:r w:rsidR="002E7181">
              <w:t>*</w:t>
            </w:r>
          </w:p>
          <w:p w14:paraId="1F18CC0B" w14:textId="2D9B690A" w:rsidR="008F4C2A" w:rsidRPr="0066027B" w:rsidRDefault="00301B82" w:rsidP="00301B82">
            <w:pPr>
              <w:pStyle w:val="Tabletext0"/>
              <w:keepNext/>
              <w:rPr>
                <w:i/>
                <w:iCs/>
              </w:rPr>
            </w:pPr>
            <w:r>
              <w:t xml:space="preserve">(See para </w:t>
            </w:r>
            <w:hyperlink r:id="rId10" w:history="1">
              <w:r w:rsidRPr="00D407A1">
                <w:rPr>
                  <w:rStyle w:val="Hyperlink"/>
                </w:rPr>
                <w:t>PN.0.23</w:t>
              </w:r>
            </w:hyperlink>
            <w:r>
              <w:t xml:space="preserve"> of explanatory notes to this Category)</w:t>
            </w:r>
          </w:p>
        </w:tc>
      </w:tr>
    </w:tbl>
    <w:p w14:paraId="53E989C5" w14:textId="3D7B7688" w:rsidR="00A55842" w:rsidRDefault="00A55842" w:rsidP="00A55842">
      <w:pPr>
        <w:pStyle w:val="FooterTableFigure"/>
      </w:pPr>
      <w:r w:rsidRPr="004D70F4">
        <w:t xml:space="preserve">Source: </w:t>
      </w:r>
      <w:r>
        <w:t>MBS online (accessed 9 July 2024)</w:t>
      </w:r>
      <w:r w:rsidRPr="004D70F4">
        <w:t>.</w:t>
      </w:r>
    </w:p>
    <w:p w14:paraId="1C1397CE" w14:textId="74416B42" w:rsidR="00B77A3A" w:rsidRPr="004D70F4" w:rsidRDefault="007C744A" w:rsidP="00A55842">
      <w:pPr>
        <w:pStyle w:val="FooterTableFigure"/>
      </w:pPr>
      <w:r w:rsidRPr="007543F6">
        <w:rPr>
          <w:u w:val="single"/>
        </w:rPr>
        <w:t>U</w:t>
      </w:r>
      <w:r w:rsidR="00B77A3A" w:rsidRPr="007543F6">
        <w:rPr>
          <w:u w:val="single"/>
        </w:rPr>
        <w:t>nder</w:t>
      </w:r>
      <w:r w:rsidRPr="007543F6">
        <w:rPr>
          <w:u w:val="single"/>
        </w:rPr>
        <w:t>line</w:t>
      </w:r>
      <w:r>
        <w:t xml:space="preserve"> indicates text proposed </w:t>
      </w:r>
      <w:r w:rsidR="00ED168A">
        <w:t>by</w:t>
      </w:r>
      <w:r>
        <w:t xml:space="preserve"> the submission</w:t>
      </w:r>
    </w:p>
    <w:p w14:paraId="41573065" w14:textId="4CB1C863" w:rsidR="00A55842" w:rsidRPr="004D70F4" w:rsidRDefault="00A55842" w:rsidP="00A55842">
      <w:pPr>
        <w:pStyle w:val="FooterTableFigure"/>
      </w:pPr>
      <w:r w:rsidRPr="004D70F4">
        <w:t xml:space="preserve">MBS = </w:t>
      </w:r>
      <w:r>
        <w:t>M</w:t>
      </w:r>
      <w:r w:rsidRPr="004D70F4">
        <w:t xml:space="preserve">edicare </w:t>
      </w:r>
      <w:r>
        <w:t>B</w:t>
      </w:r>
      <w:r w:rsidRPr="004D70F4">
        <w:t>enefits Sche</w:t>
      </w:r>
      <w:r>
        <w:t>dule</w:t>
      </w:r>
      <w:r w:rsidR="00D74017">
        <w:t>; w.e.f. = with effect from</w:t>
      </w:r>
      <w:r>
        <w:t>.</w:t>
      </w:r>
    </w:p>
    <w:p w14:paraId="5566ADFA" w14:textId="77777777" w:rsidR="002E7181" w:rsidRDefault="002E7181" w:rsidP="002E7181">
      <w:pPr>
        <w:pStyle w:val="FooterTableFigure"/>
      </w:pPr>
      <w:r w:rsidRPr="004D70F4">
        <w:t>* 85% benefit reflects the 1 November 202</w:t>
      </w:r>
      <w:r>
        <w:t>3</w:t>
      </w:r>
      <w:r w:rsidRPr="004D70F4">
        <w:t xml:space="preserve"> Greatest Permissible Gap (GPG) of $</w:t>
      </w:r>
      <w:r>
        <w:t>98.70</w:t>
      </w:r>
      <w:r w:rsidRPr="004D70F4">
        <w:t>. All out-of-hospital Medicare services that have an MBS fee of $</w:t>
      </w:r>
      <w:r>
        <w:t>658.35</w:t>
      </w:r>
      <w:r w:rsidRPr="004D70F4">
        <w:t xml:space="preserve"> or more will attract a benefit that is greater than 85% of the MBS fee – being the schedule fee less the GPG amount. The GPG amount is indexed annually on 1 November in line with the Consumer Price Index (CPI) (June quarter).</w:t>
      </w:r>
    </w:p>
    <w:p w14:paraId="03478DAB" w14:textId="47A08729" w:rsidR="00650693" w:rsidRPr="00650693" w:rsidRDefault="00F53581" w:rsidP="00E37B04">
      <w:pPr>
        <w:pStyle w:val="Caption"/>
        <w:spacing w:before="240"/>
        <w:rPr>
          <w:rFonts w:cs="Arial"/>
        </w:rPr>
      </w:pPr>
      <w:bookmarkStart w:id="9" w:name="_Ref171431314"/>
      <w:bookmarkStart w:id="10" w:name="_Ref69481033"/>
      <w:r>
        <w:t xml:space="preserve">Table </w:t>
      </w:r>
      <w:r w:rsidR="008F6B43">
        <w:fldChar w:fldCharType="begin"/>
      </w:r>
      <w:r w:rsidR="008F6B43">
        <w:instrText xml:space="preserve"> SEQ Table \* ARABIC </w:instrText>
      </w:r>
      <w:r w:rsidR="008F6B43">
        <w:fldChar w:fldCharType="separate"/>
      </w:r>
      <w:r w:rsidR="00325DE1">
        <w:rPr>
          <w:noProof/>
        </w:rPr>
        <w:t>4</w:t>
      </w:r>
      <w:r w:rsidR="008F6B43">
        <w:rPr>
          <w:noProof/>
        </w:rPr>
        <w:fldChar w:fldCharType="end"/>
      </w:r>
      <w:bookmarkEnd w:id="9"/>
      <w:r>
        <w:tab/>
      </w:r>
      <w:bookmarkEnd w:id="10"/>
      <w:r w:rsidR="002B46E5">
        <w:t>Proposed a</w:t>
      </w:r>
      <w:r w:rsidR="00B26622" w:rsidRPr="00CE28E3">
        <w:rPr>
          <w:rFonts w:cs="Arial"/>
        </w:rPr>
        <w:t>mend</w:t>
      </w:r>
      <w:r w:rsidR="002B46E5">
        <w:rPr>
          <w:rFonts w:cs="Arial"/>
        </w:rPr>
        <w:t xml:space="preserve">ment </w:t>
      </w:r>
      <w:r w:rsidR="00EC36A6">
        <w:rPr>
          <w:rFonts w:cs="Arial"/>
        </w:rPr>
        <w:t>(</w:t>
      </w:r>
      <w:r w:rsidR="00EC36A6" w:rsidRPr="007543F6">
        <w:rPr>
          <w:rFonts w:cs="Arial"/>
          <w:color w:val="FF0000"/>
        </w:rPr>
        <w:t>red texts</w:t>
      </w:r>
      <w:r w:rsidR="00EC36A6">
        <w:rPr>
          <w:rFonts w:cs="Arial"/>
        </w:rPr>
        <w:t xml:space="preserve">) </w:t>
      </w:r>
      <w:r w:rsidR="002B46E5">
        <w:rPr>
          <w:rFonts w:cs="Arial"/>
        </w:rPr>
        <w:t>of</w:t>
      </w:r>
      <w:r w:rsidR="00B26622" w:rsidRPr="00CE28E3">
        <w:rPr>
          <w:rFonts w:cs="Arial"/>
        </w:rPr>
        <w:t xml:space="preserve"> MBS item</w:t>
      </w:r>
      <w:r w:rsidR="003328A9" w:rsidRPr="00CE28E3">
        <w:rPr>
          <w:rFonts w:cs="Arial"/>
        </w:rPr>
        <w:t xml:space="preserve"> </w:t>
      </w:r>
      <w:r w:rsidR="007C2A19">
        <w:rPr>
          <w:rFonts w:cs="Arial"/>
        </w:rPr>
        <w:t>73295 in the submission</w:t>
      </w:r>
      <w:r w:rsidR="00E630A9">
        <w:rPr>
          <w:rFonts w:cs="Arial"/>
        </w:rPr>
        <w:t xml:space="preserve">, </w:t>
      </w:r>
      <w:r w:rsidR="00E630A9" w:rsidRPr="00E630A9">
        <w:rPr>
          <w:rFonts w:cs="Arial"/>
        </w:rPr>
        <w:t>based on item descriptor prior to 1 July 2024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8"/>
        <w:gridCol w:w="4508"/>
      </w:tblGrid>
      <w:tr w:rsidR="00650693" w:rsidRPr="004D70F4" w14:paraId="426C1276" w14:textId="77777777" w:rsidTr="00583870">
        <w:trPr>
          <w:trHeight w:val="351"/>
          <w:tblHeader/>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291B1" w14:textId="77777777" w:rsidR="00650693" w:rsidRPr="004D70F4" w:rsidRDefault="00650693" w:rsidP="00583870">
            <w:pPr>
              <w:pStyle w:val="Tabletext0"/>
              <w:keepNext/>
              <w:rPr>
                <w:b/>
                <w:bCs/>
              </w:rPr>
            </w:pPr>
            <w:r w:rsidRPr="004D70F4">
              <w:rPr>
                <w:b/>
                <w:bCs/>
              </w:rPr>
              <w:t>Category 6 – Pathology Services</w:t>
            </w:r>
          </w:p>
        </w:tc>
      </w:tr>
      <w:tr w:rsidR="00650693" w:rsidRPr="004D70F4" w14:paraId="4B8E6E3E" w14:textId="77777777" w:rsidTr="00583870">
        <w:trPr>
          <w:trHeight w:val="351"/>
          <w:tblHeader/>
        </w:trPr>
        <w:tc>
          <w:tcPr>
            <w:tcW w:w="2500" w:type="pct"/>
            <w:tcBorders>
              <w:top w:val="single" w:sz="4" w:space="0" w:color="000000" w:themeColor="text1"/>
              <w:left w:val="single" w:sz="4" w:space="0" w:color="000000" w:themeColor="text1"/>
              <w:bottom w:val="single" w:sz="4" w:space="0" w:color="000000" w:themeColor="text1"/>
              <w:right w:val="nil"/>
            </w:tcBorders>
          </w:tcPr>
          <w:p w14:paraId="470D1D7F" w14:textId="77777777" w:rsidR="00650693" w:rsidRPr="004D70F4" w:rsidRDefault="00650693" w:rsidP="00583870">
            <w:pPr>
              <w:pStyle w:val="Tabletext0"/>
              <w:keepNext/>
              <w:rPr>
                <w:b/>
                <w:bCs/>
              </w:rPr>
            </w:pPr>
            <w:r w:rsidRPr="004D70F4">
              <w:rPr>
                <w:b/>
                <w:bCs/>
              </w:rPr>
              <w:t>MBS item 73295</w:t>
            </w:r>
          </w:p>
        </w:tc>
        <w:tc>
          <w:tcPr>
            <w:tcW w:w="2500" w:type="pct"/>
            <w:tcBorders>
              <w:top w:val="single" w:sz="4" w:space="0" w:color="000000" w:themeColor="text1"/>
              <w:left w:val="nil"/>
              <w:bottom w:val="single" w:sz="4" w:space="0" w:color="000000" w:themeColor="text1"/>
              <w:right w:val="single" w:sz="4" w:space="0" w:color="000000" w:themeColor="text1"/>
            </w:tcBorders>
          </w:tcPr>
          <w:p w14:paraId="5D3168CD" w14:textId="77777777" w:rsidR="00650693" w:rsidRPr="004D70F4" w:rsidRDefault="00650693" w:rsidP="00583870">
            <w:pPr>
              <w:pStyle w:val="Tabletext0"/>
              <w:keepNext/>
              <w:jc w:val="right"/>
              <w:rPr>
                <w:b/>
                <w:bCs/>
              </w:rPr>
            </w:pPr>
            <w:r w:rsidRPr="004D70F4">
              <w:rPr>
                <w:b/>
                <w:bCs/>
              </w:rPr>
              <w:t>Group P7 – Genetics</w:t>
            </w:r>
          </w:p>
        </w:tc>
      </w:tr>
      <w:tr w:rsidR="00650693" w:rsidRPr="004D70F4" w14:paraId="46FC80C7" w14:textId="77777777" w:rsidTr="00583870">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99440" w14:textId="77777777" w:rsidR="00E11816" w:rsidRPr="00E11816" w:rsidRDefault="00E11816" w:rsidP="00E11816">
            <w:pPr>
              <w:pStyle w:val="Tabletext0"/>
              <w:rPr>
                <w:lang w:bidi="en-US"/>
              </w:rPr>
            </w:pPr>
            <w:r w:rsidRPr="00E11816">
              <w:rPr>
                <w:lang w:bidi="en-US"/>
              </w:rPr>
              <w:t xml:space="preserve">Detection of germline </w:t>
            </w:r>
            <w:r w:rsidRPr="007543F6">
              <w:rPr>
                <w:lang w:bidi="en-US"/>
              </w:rPr>
              <w:t>BRCA1</w:t>
            </w:r>
            <w:r w:rsidRPr="00E11816">
              <w:rPr>
                <w:lang w:bidi="en-US"/>
              </w:rPr>
              <w:t xml:space="preserve"> or </w:t>
            </w:r>
            <w:r w:rsidRPr="007543F6">
              <w:rPr>
                <w:lang w:bidi="en-US"/>
              </w:rPr>
              <w:t>BRCA2</w:t>
            </w:r>
            <w:r w:rsidRPr="00E11816">
              <w:rPr>
                <w:lang w:bidi="en-US"/>
              </w:rPr>
              <w:t xml:space="preserve"> pathogenic or likely pathogenic gene variants, in a patient with:</w:t>
            </w:r>
          </w:p>
          <w:p w14:paraId="5E192461" w14:textId="77777777" w:rsidR="00E11816" w:rsidRPr="00E11816" w:rsidRDefault="00E11816" w:rsidP="00E11816">
            <w:pPr>
              <w:pStyle w:val="Tabletext0"/>
              <w:numPr>
                <w:ilvl w:val="0"/>
                <w:numId w:val="29"/>
              </w:numPr>
              <w:rPr>
                <w:lang w:bidi="en-US"/>
              </w:rPr>
            </w:pPr>
            <w:r w:rsidRPr="00E11816">
              <w:rPr>
                <w:lang w:bidi="en-US"/>
              </w:rPr>
              <w:t>advanced (FIGO III-IV) high-grade serous or high-grade epithelial ovarian, fallopian tube or primary peritoneal cancer for whom testing of tumour tissue is not feasible; or</w:t>
            </w:r>
          </w:p>
          <w:p w14:paraId="059581DF" w14:textId="77777777" w:rsidR="00E11816" w:rsidRPr="007543F6" w:rsidRDefault="00E11816" w:rsidP="00E11816">
            <w:pPr>
              <w:pStyle w:val="Tabletext0"/>
              <w:numPr>
                <w:ilvl w:val="0"/>
                <w:numId w:val="29"/>
              </w:numPr>
              <w:rPr>
                <w:color w:val="FF0000"/>
                <w:lang w:bidi="en-US"/>
              </w:rPr>
            </w:pPr>
            <w:r w:rsidRPr="007543F6">
              <w:rPr>
                <w:color w:val="FF0000"/>
                <w:lang w:bidi="en-US"/>
              </w:rPr>
              <w:t>HER2-negative metastatic breast cancer who have received prior (neo)adjuvant chemotherapy</w:t>
            </w:r>
          </w:p>
          <w:p w14:paraId="53A3F950" w14:textId="77777777" w:rsidR="00E11816" w:rsidRPr="00E11816" w:rsidRDefault="00E11816" w:rsidP="00E11816">
            <w:pPr>
              <w:pStyle w:val="Tabletext0"/>
              <w:numPr>
                <w:ilvl w:val="0"/>
                <w:numId w:val="29"/>
              </w:numPr>
              <w:rPr>
                <w:lang w:bidi="en-US"/>
              </w:rPr>
            </w:pPr>
            <w:r w:rsidRPr="00E11816">
              <w:rPr>
                <w:lang w:bidi="en-US"/>
              </w:rPr>
              <w:t>triple negative early breast cancer; or</w:t>
            </w:r>
          </w:p>
          <w:p w14:paraId="54A05FD5" w14:textId="77777777" w:rsidR="00E11816" w:rsidRPr="00E11816" w:rsidRDefault="00E11816" w:rsidP="00E11816">
            <w:pPr>
              <w:pStyle w:val="Tabletext0"/>
              <w:numPr>
                <w:ilvl w:val="0"/>
                <w:numId w:val="29"/>
              </w:numPr>
              <w:rPr>
                <w:lang w:bidi="en-US"/>
              </w:rPr>
            </w:pPr>
            <w:r w:rsidRPr="00E11816">
              <w:rPr>
                <w:lang w:bidi="en-US"/>
              </w:rPr>
              <w:t>hormone receptor positive, HER2-negative, early breast cancer with at least one of the following high-risk characteristics:</w:t>
            </w:r>
          </w:p>
          <w:p w14:paraId="27894C31" w14:textId="77777777" w:rsidR="00E11816" w:rsidRPr="00E11816" w:rsidRDefault="00E11816" w:rsidP="00E11816">
            <w:pPr>
              <w:pStyle w:val="Tabletext0"/>
              <w:numPr>
                <w:ilvl w:val="1"/>
                <w:numId w:val="29"/>
              </w:numPr>
              <w:rPr>
                <w:lang w:bidi="en-US"/>
              </w:rPr>
            </w:pPr>
            <w:r w:rsidRPr="00E11816">
              <w:rPr>
                <w:lang w:bidi="en-US"/>
              </w:rPr>
              <w:t>tumour histological grading of at least 3; or</w:t>
            </w:r>
          </w:p>
          <w:p w14:paraId="593CB729" w14:textId="77777777" w:rsidR="00E11816" w:rsidRPr="00E11816" w:rsidRDefault="00E11816" w:rsidP="00E11816">
            <w:pPr>
              <w:pStyle w:val="Tabletext0"/>
              <w:numPr>
                <w:ilvl w:val="1"/>
                <w:numId w:val="29"/>
              </w:numPr>
              <w:rPr>
                <w:lang w:bidi="en-US"/>
              </w:rPr>
            </w:pPr>
            <w:r w:rsidRPr="00E11816">
              <w:rPr>
                <w:lang w:bidi="en-US"/>
              </w:rPr>
              <w:t>tumour size of greater than 2 cm; or</w:t>
            </w:r>
          </w:p>
          <w:p w14:paraId="094B850D" w14:textId="77777777" w:rsidR="00E11816" w:rsidRPr="00E11816" w:rsidRDefault="00E11816" w:rsidP="00E11816">
            <w:pPr>
              <w:pStyle w:val="Tabletext0"/>
              <w:numPr>
                <w:ilvl w:val="1"/>
                <w:numId w:val="29"/>
              </w:numPr>
              <w:rPr>
                <w:lang w:bidi="en-US"/>
              </w:rPr>
            </w:pPr>
            <w:r w:rsidRPr="00E11816">
              <w:rPr>
                <w:lang w:bidi="en-US"/>
              </w:rPr>
              <w:t>one or more axillary lymph node metastases</w:t>
            </w:r>
          </w:p>
          <w:p w14:paraId="65C362F9" w14:textId="20529D7F" w:rsidR="00E11816" w:rsidRPr="00E11816" w:rsidRDefault="00E11816" w:rsidP="00E37B04">
            <w:pPr>
              <w:pStyle w:val="Tabletext0"/>
              <w:spacing w:after="120"/>
              <w:rPr>
                <w:lang w:bidi="en-US"/>
              </w:rPr>
            </w:pPr>
            <w:r w:rsidRPr="00E11816">
              <w:rPr>
                <w:lang w:bidi="en-US"/>
              </w:rPr>
              <w:t>requested by a specialist or consultant physician, to determine eligibility for treatment with a poly (adenosine diphosphate [ADP]-ribose) polymerase (PARP) inhibitor under the Pharmaceutical Benefits Scheme (PBS)</w:t>
            </w:r>
          </w:p>
          <w:p w14:paraId="45B189B3" w14:textId="1594C113" w:rsidR="004654B1" w:rsidRPr="0066027B" w:rsidRDefault="00E11816" w:rsidP="00583870">
            <w:pPr>
              <w:pStyle w:val="Tabletext0"/>
              <w:keepNext/>
              <w:rPr>
                <w:i/>
                <w:iCs/>
              </w:rPr>
            </w:pPr>
            <w:r w:rsidRPr="00E11816">
              <w:rPr>
                <w:lang w:val="en-US"/>
              </w:rPr>
              <w:t>Maximum of one test per patient’s lifetime.</w:t>
            </w:r>
          </w:p>
        </w:tc>
      </w:tr>
      <w:tr w:rsidR="00650693" w:rsidRPr="004D70F4" w14:paraId="75792A6B" w14:textId="77777777" w:rsidTr="00583870">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E52995" w14:textId="439E9633" w:rsidR="00650693" w:rsidRPr="004D70F4" w:rsidRDefault="00650693" w:rsidP="00583870">
            <w:pPr>
              <w:pStyle w:val="Tabletext0"/>
            </w:pPr>
            <w:r w:rsidRPr="004D70F4">
              <w:t>Fee: $1,200.00</w:t>
            </w:r>
            <w:r w:rsidRPr="004D70F4">
              <w:tab/>
              <w:t>Benefit: 75% = $900.00</w:t>
            </w:r>
            <w:r w:rsidRPr="004D70F4">
              <w:tab/>
              <w:t>85% = $1,</w:t>
            </w:r>
            <w:r w:rsidR="007C2A19">
              <w:t>101.30</w:t>
            </w:r>
            <w:r w:rsidRPr="004D70F4">
              <w:t>*</w:t>
            </w:r>
          </w:p>
        </w:tc>
      </w:tr>
      <w:tr w:rsidR="00F4218D" w:rsidRPr="004D70F4" w14:paraId="031549C9" w14:textId="77777777" w:rsidTr="00655220">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907D1" w14:textId="77777777" w:rsidR="00B234E6" w:rsidRDefault="00B234E6" w:rsidP="00B234E6">
            <w:pPr>
              <w:pStyle w:val="Tabletext0"/>
            </w:pPr>
            <w:r>
              <w:t>Explanatory note PN.0.27</w:t>
            </w:r>
          </w:p>
          <w:p w14:paraId="48050172" w14:textId="3ED2C460" w:rsidR="00F4218D" w:rsidRPr="0066027B" w:rsidRDefault="00B234E6" w:rsidP="00F4218D">
            <w:pPr>
              <w:pStyle w:val="Tabletext0"/>
              <w:jc w:val="left"/>
              <w:rPr>
                <w:i/>
                <w:iCs/>
              </w:rPr>
            </w:pPr>
            <w:r>
              <w:t>Patients who are found to have any form of affected allele should be referred for post-test genetic counselling as there may be implications for other family members. Appropriate genetic counselling should be provided to the patient either by the specialist treating practitioner, a genetic counselling service or a clinical geneticist.</w:t>
            </w:r>
          </w:p>
        </w:tc>
      </w:tr>
    </w:tbl>
    <w:p w14:paraId="2470DB65" w14:textId="77777777" w:rsidR="00F13AFE" w:rsidRDefault="00B82D1D" w:rsidP="00650693">
      <w:pPr>
        <w:pStyle w:val="FooterTableFigure"/>
      </w:pPr>
      <w:r>
        <w:t xml:space="preserve">Red font text indicates </w:t>
      </w:r>
      <w:r w:rsidR="005461C6">
        <w:t>proposed amen</w:t>
      </w:r>
      <w:r w:rsidR="007C6863">
        <w:t xml:space="preserve">dment </w:t>
      </w:r>
      <w:r w:rsidR="00F13AFE">
        <w:t>in the submission.</w:t>
      </w:r>
    </w:p>
    <w:p w14:paraId="62BC4F8D" w14:textId="27E01CC5" w:rsidR="00650693" w:rsidRPr="004D70F4" w:rsidRDefault="00650693" w:rsidP="00650693">
      <w:pPr>
        <w:pStyle w:val="FooterTableFigure"/>
      </w:pPr>
      <w:r w:rsidRPr="004D70F4">
        <w:t xml:space="preserve">Source: Table </w:t>
      </w:r>
      <w:r w:rsidR="00BA7551">
        <w:t>ES</w:t>
      </w:r>
      <w:r w:rsidR="001E0190">
        <w:t xml:space="preserve"> 3</w:t>
      </w:r>
      <w:r w:rsidRPr="004D70F4">
        <w:t>, p</w:t>
      </w:r>
      <w:r w:rsidR="00CC77C3">
        <w:t>age iv</w:t>
      </w:r>
      <w:r w:rsidR="009B6183">
        <w:t xml:space="preserve"> of OlympiAD Executive Summary FINAL</w:t>
      </w:r>
      <w:r w:rsidRPr="004D70F4">
        <w:t>.</w:t>
      </w:r>
    </w:p>
    <w:p w14:paraId="6D44C284" w14:textId="5BBC69E9" w:rsidR="00650693" w:rsidRPr="004D70F4" w:rsidRDefault="00650693" w:rsidP="00650693">
      <w:pPr>
        <w:pStyle w:val="FooterTableFigure"/>
      </w:pPr>
      <w:r w:rsidRPr="004D70F4">
        <w:t xml:space="preserve">MBS = </w:t>
      </w:r>
      <w:r>
        <w:t>M</w:t>
      </w:r>
      <w:r w:rsidRPr="004D70F4">
        <w:t xml:space="preserve">edicare </w:t>
      </w:r>
      <w:r>
        <w:t>B</w:t>
      </w:r>
      <w:r w:rsidRPr="004D70F4">
        <w:t>enefits Sche</w:t>
      </w:r>
      <w:r w:rsidR="00F804FD">
        <w:t>dul</w:t>
      </w:r>
      <w:r w:rsidRPr="004D70F4">
        <w:t>e</w:t>
      </w:r>
      <w:r w:rsidR="009B6183">
        <w:t>.</w:t>
      </w:r>
    </w:p>
    <w:p w14:paraId="01E7412F" w14:textId="58C3EFEB" w:rsidR="00650693" w:rsidRDefault="00650693" w:rsidP="00650693">
      <w:pPr>
        <w:pStyle w:val="FooterTableFigure"/>
      </w:pPr>
      <w:r w:rsidRPr="004D70F4">
        <w:t>* 85% benefit reflects the 1 November 202</w:t>
      </w:r>
      <w:r w:rsidR="007C2A19">
        <w:t>3</w:t>
      </w:r>
      <w:r w:rsidRPr="004D70F4">
        <w:t xml:space="preserve"> Greatest Permissible Gap (GPG) of $</w:t>
      </w:r>
      <w:r w:rsidR="007C2A19">
        <w:t>98.70</w:t>
      </w:r>
      <w:r w:rsidRPr="004D70F4">
        <w:t>. All out-of-hospital Medicare services that have an MBS fee of $</w:t>
      </w:r>
      <w:r w:rsidR="007C2A19">
        <w:t>658.35</w:t>
      </w:r>
      <w:r w:rsidRPr="004D70F4">
        <w:t xml:space="preserve"> or more will attract a benefit that is greater than 85% of the MBS fee – being the schedule fee less the GPG amount. The GPG amount is indexed annually on 1 November in line with the Consumer Price Index (CPI) (June quarter).</w:t>
      </w:r>
    </w:p>
    <w:p w14:paraId="1FBC6BE3" w14:textId="51C5BFF8" w:rsidR="00650693" w:rsidRPr="004D70F4" w:rsidRDefault="00650693" w:rsidP="00650693">
      <w:pPr>
        <w:pStyle w:val="FooterTableFigure"/>
      </w:pPr>
      <w:r>
        <w:t>Underlined text indicates proposed amendment</w:t>
      </w:r>
      <w:r w:rsidR="005B4C45">
        <w:t>;</w:t>
      </w:r>
      <w:r w:rsidR="005B4C45" w:rsidRPr="005B4C45">
        <w:t xml:space="preserve"> </w:t>
      </w:r>
      <w:r w:rsidR="005B4C45">
        <w:t>red font indicates text added during evaluation</w:t>
      </w:r>
      <w:r>
        <w:t xml:space="preserve"> </w:t>
      </w:r>
    </w:p>
    <w:p w14:paraId="2899E34D" w14:textId="48A5057E" w:rsidR="00650693" w:rsidRDefault="00650693" w:rsidP="00650693">
      <w:r>
        <w:lastRenderedPageBreak/>
        <w:t xml:space="preserve">The submission proposed </w:t>
      </w:r>
      <w:r w:rsidR="0001426F">
        <w:t xml:space="preserve">an amendment </w:t>
      </w:r>
      <w:r w:rsidR="00E34AB5">
        <w:t>of</w:t>
      </w:r>
      <w:r>
        <w:t xml:space="preserve"> MBS item 73295 </w:t>
      </w:r>
      <w:r w:rsidR="00725543">
        <w:t xml:space="preserve">to include patients with HER2-negative mBC who has received prior (neo)adjuvant chemotherapy </w:t>
      </w:r>
      <w:r>
        <w:t>for g</w:t>
      </w:r>
      <w:r w:rsidRPr="0066027B">
        <w:rPr>
          <w:i/>
          <w:iCs/>
        </w:rPr>
        <w:t>BRCA</w:t>
      </w:r>
      <w:r>
        <w:t xml:space="preserve"> testing to determine eligibility for </w:t>
      </w:r>
      <w:r w:rsidR="00FF5450">
        <w:t xml:space="preserve">a PARP inhibitor </w:t>
      </w:r>
      <w:r>
        <w:t xml:space="preserve">under the PBS. </w:t>
      </w:r>
    </w:p>
    <w:p w14:paraId="1DA3EBAA" w14:textId="3547B9C4" w:rsidR="00650693" w:rsidRDefault="00650693" w:rsidP="00650693">
      <w:r>
        <w:t xml:space="preserve">The </w:t>
      </w:r>
      <w:r w:rsidR="00565952">
        <w:t>c</w:t>
      </w:r>
      <w:r>
        <w:t xml:space="preserve">ommentary noted that the proposed amendment </w:t>
      </w:r>
      <w:r w:rsidR="00E644CE">
        <w:t>of item descriptor</w:t>
      </w:r>
      <w:r>
        <w:t xml:space="preserve"> did not specif</w:t>
      </w:r>
      <w:r w:rsidR="0089456E">
        <w:t>icall</w:t>
      </w:r>
      <w:r>
        <w:t>y inclu</w:t>
      </w:r>
      <w:r w:rsidR="0089456E">
        <w:t>de</w:t>
      </w:r>
      <w:r>
        <w:t xml:space="preserve"> patients with HER2-negative </w:t>
      </w:r>
      <w:r w:rsidRPr="0066027B">
        <w:rPr>
          <w:i/>
          <w:iCs/>
        </w:rPr>
        <w:t>de novo</w:t>
      </w:r>
      <w:r>
        <w:t xml:space="preserve"> mBC, which appear</w:t>
      </w:r>
      <w:r w:rsidR="00E644CE">
        <w:t>ed</w:t>
      </w:r>
      <w:r>
        <w:t xml:space="preserve"> to be an error, since the </w:t>
      </w:r>
      <w:r w:rsidRPr="0066027B">
        <w:rPr>
          <w:i/>
          <w:iCs/>
        </w:rPr>
        <w:t>de novo</w:t>
      </w:r>
      <w:r>
        <w:t xml:space="preserve"> population would also require access to the </w:t>
      </w:r>
      <w:r w:rsidRPr="0066027B">
        <w:rPr>
          <w:i/>
          <w:iCs/>
        </w:rPr>
        <w:t>BRCA</w:t>
      </w:r>
      <w:r>
        <w:t xml:space="preserve"> test if </w:t>
      </w:r>
      <w:r w:rsidR="00A451D3">
        <w:t>olaparib</w:t>
      </w:r>
      <w:r>
        <w:t xml:space="preserve"> is recommended for PBS listing for these patients and these patients would not have received prior (neo)adjuvant chemotherapy. </w:t>
      </w:r>
      <w:r w:rsidR="009F6A91">
        <w:t>The</w:t>
      </w:r>
      <w:r w:rsidR="00830FBE">
        <w:t>refore,</w:t>
      </w:r>
      <w:r w:rsidR="009F6A91">
        <w:t xml:space="preserve"> </w:t>
      </w:r>
      <w:r w:rsidR="00F94F36">
        <w:t xml:space="preserve">the </w:t>
      </w:r>
      <w:r w:rsidR="00155253">
        <w:t>department</w:t>
      </w:r>
      <w:r w:rsidR="00CF7D47">
        <w:t xml:space="preserve"> proposed</w:t>
      </w:r>
      <w:r w:rsidR="00F94F36">
        <w:t xml:space="preserve"> </w:t>
      </w:r>
      <w:r w:rsidR="00CF7D47">
        <w:t>amen</w:t>
      </w:r>
      <w:r w:rsidR="00B7527F">
        <w:t>dments to</w:t>
      </w:r>
      <w:r w:rsidR="000B2977">
        <w:t xml:space="preserve"> the des</w:t>
      </w:r>
      <w:r w:rsidR="00830FBE">
        <w:t>criptor</w:t>
      </w:r>
      <w:r w:rsidR="007D2B08">
        <w:t xml:space="preserve"> to include </w:t>
      </w:r>
      <w:r w:rsidR="00C1334F" w:rsidRPr="007543F6">
        <w:rPr>
          <w:i/>
          <w:iCs/>
        </w:rPr>
        <w:t>de novo</w:t>
      </w:r>
      <w:r w:rsidR="00C1334F" w:rsidRPr="00C1334F">
        <w:t xml:space="preserve"> metastatic HER2-negative breast cancer</w:t>
      </w:r>
      <w:r w:rsidR="007D2B08">
        <w:t xml:space="preserve"> (</w:t>
      </w:r>
      <w:r w:rsidR="007D2B08">
        <w:fldChar w:fldCharType="begin"/>
      </w:r>
      <w:r w:rsidR="007D2B08">
        <w:instrText xml:space="preserve"> REF _Ref171431214 \h </w:instrText>
      </w:r>
      <w:r w:rsidR="007D2B08">
        <w:fldChar w:fldCharType="separate"/>
      </w:r>
      <w:r w:rsidR="00325DE1">
        <w:t xml:space="preserve">Table </w:t>
      </w:r>
      <w:r w:rsidR="00325DE1">
        <w:rPr>
          <w:noProof/>
        </w:rPr>
        <w:t>3</w:t>
      </w:r>
      <w:r w:rsidR="007D2B08">
        <w:fldChar w:fldCharType="end"/>
      </w:r>
      <w:r w:rsidR="007D2B08">
        <w:t>).</w:t>
      </w:r>
      <w:r>
        <w:t xml:space="preserve"> </w:t>
      </w:r>
    </w:p>
    <w:p w14:paraId="32DDD52A" w14:textId="07E0EEF8" w:rsidR="00650693" w:rsidRDefault="00650693" w:rsidP="00650693">
      <w:r>
        <w:t xml:space="preserve">The proposed MBS item descriptor indicated that only patients with HER2-negative </w:t>
      </w:r>
      <w:r w:rsidR="00871922">
        <w:t>mBC</w:t>
      </w:r>
      <w:r>
        <w:t xml:space="preserve"> and have received prior (neo)adjuvant chemotherapy would be eligible for the MBS item, i.e. the patient would require a HER2-negative test result to be eligible for the proposed g</w:t>
      </w:r>
      <w:r w:rsidRPr="0066027B">
        <w:rPr>
          <w:i/>
          <w:iCs/>
        </w:rPr>
        <w:t>BRCA</w:t>
      </w:r>
      <w:r>
        <w:t xml:space="preserve"> test. </w:t>
      </w:r>
      <w:r w:rsidR="002B0FFC">
        <w:t xml:space="preserve">The </w:t>
      </w:r>
      <w:r w:rsidR="000820E6" w:rsidRPr="0069304F">
        <w:t>MSAC 1507 PICO Confirmation</w:t>
      </w:r>
      <w:r w:rsidR="00AC02D9">
        <w:t xml:space="preserve"> </w:t>
      </w:r>
      <w:r w:rsidR="002B0FFC">
        <w:t>indicated that testing for HER2 status was a prior test</w:t>
      </w:r>
      <w:r>
        <w:t>.</w:t>
      </w:r>
    </w:p>
    <w:p w14:paraId="07EBC63E" w14:textId="67014B05" w:rsidR="00650693" w:rsidRDefault="00650693" w:rsidP="00650693">
      <w:r>
        <w:t xml:space="preserve">The submission proposed a test cost of $1,200, which was consistent with the test cost proposed in </w:t>
      </w:r>
      <w:r w:rsidR="00AC02D9">
        <w:t xml:space="preserve">the </w:t>
      </w:r>
      <w:r w:rsidR="000820E6" w:rsidRPr="0069304F">
        <w:t>1716 PSD March 2023 MSAC meeting</w:t>
      </w:r>
      <w:r w:rsidR="000820E6">
        <w:rPr>
          <w:vertAlign w:val="superscript"/>
        </w:rPr>
        <w:t>1</w:t>
      </w:r>
      <w:r w:rsidR="00AC02D9">
        <w:rPr>
          <w:color w:val="000000" w:themeColor="text1"/>
        </w:rPr>
        <w:t xml:space="preserve"> </w:t>
      </w:r>
      <w:r>
        <w:t xml:space="preserve">for </w:t>
      </w:r>
      <w:r w:rsidRPr="11FAFD31">
        <w:rPr>
          <w:i/>
          <w:iCs/>
        </w:rPr>
        <w:t>BRCA</w:t>
      </w:r>
      <w:r>
        <w:t xml:space="preserve"> testing in eBC. The proposed MBS l</w:t>
      </w:r>
      <w:r w:rsidR="00565952">
        <w:t>is</w:t>
      </w:r>
      <w:r>
        <w:t xml:space="preserve">ting would likely increase the number of people eligible for </w:t>
      </w:r>
      <w:r w:rsidRPr="11FAFD31">
        <w:rPr>
          <w:i/>
          <w:iCs/>
        </w:rPr>
        <w:t>BRCA1/2</w:t>
      </w:r>
      <w:r>
        <w:t xml:space="preserve"> testing on the MBS, but the submission </w:t>
      </w:r>
      <w:r w:rsidR="00BE2067">
        <w:t xml:space="preserve">assumed </w:t>
      </w:r>
      <w:r>
        <w:t xml:space="preserve">that many patients </w:t>
      </w:r>
      <w:r w:rsidR="0039020D">
        <w:t>(</w:t>
      </w:r>
      <w:r w:rsidR="0039020D" w:rsidRPr="0090680E">
        <w:t xml:space="preserve">ranging from </w:t>
      </w:r>
      <w:r w:rsidR="0090680E" w:rsidRPr="0090680E">
        <w:rPr>
          <w:b/>
          <w:bCs/>
        </w:rPr>
        <w:t>redacted</w:t>
      </w:r>
      <w:r w:rsidR="0039020D" w:rsidRPr="0090680E">
        <w:t xml:space="preserve">% to </w:t>
      </w:r>
      <w:r w:rsidR="0090680E" w:rsidRPr="0090680E">
        <w:rPr>
          <w:b/>
          <w:bCs/>
        </w:rPr>
        <w:t>redacted</w:t>
      </w:r>
      <w:r w:rsidR="0039020D" w:rsidRPr="0090680E">
        <w:t>% in Years 1 to 6 of listing</w:t>
      </w:r>
      <w:r w:rsidR="0039020D">
        <w:t xml:space="preserve">) </w:t>
      </w:r>
      <w:r>
        <w:t xml:space="preserve">would already know their </w:t>
      </w:r>
      <w:r w:rsidR="005B3CC3" w:rsidRPr="11FAFD31">
        <w:rPr>
          <w:i/>
          <w:iCs/>
        </w:rPr>
        <w:t>BRCA</w:t>
      </w:r>
      <w:r w:rsidR="005B3CC3">
        <w:t xml:space="preserve"> status prior to the metastatic setting (</w:t>
      </w:r>
      <w:r w:rsidR="00BA4F8F" w:rsidRPr="00656AE8">
        <w:fldChar w:fldCharType="begin"/>
      </w:r>
      <w:r w:rsidR="00BA4F8F" w:rsidRPr="00656AE8">
        <w:instrText xml:space="preserve"> REF _Ref167111164 \h </w:instrText>
      </w:r>
      <w:r w:rsidR="00656AE8">
        <w:instrText xml:space="preserve"> \* MERGEFORMAT </w:instrText>
      </w:r>
      <w:r w:rsidR="00BA4F8F" w:rsidRPr="00656AE8">
        <w:fldChar w:fldCharType="separate"/>
      </w:r>
      <w:r w:rsidR="00325DE1" w:rsidRPr="00AD596B">
        <w:rPr>
          <w:rStyle w:val="CommentReference"/>
          <w:sz w:val="22"/>
          <w:szCs w:val="22"/>
        </w:rPr>
        <w:t>Table</w:t>
      </w:r>
      <w:r w:rsidR="00325DE1" w:rsidRPr="004D70F4">
        <w:t xml:space="preserve"> </w:t>
      </w:r>
      <w:r w:rsidR="00325DE1">
        <w:rPr>
          <w:noProof/>
        </w:rPr>
        <w:t>17</w:t>
      </w:r>
      <w:r w:rsidR="00BA4F8F" w:rsidRPr="00656AE8">
        <w:fldChar w:fldCharType="end"/>
      </w:r>
      <w:r w:rsidR="005B3CC3">
        <w:t xml:space="preserve">). </w:t>
      </w:r>
    </w:p>
    <w:p w14:paraId="66D64A45" w14:textId="3FD57A85" w:rsidR="005B3CC3" w:rsidRDefault="005B3CC3" w:rsidP="005B3CC3">
      <w:r>
        <w:t xml:space="preserve">The </w:t>
      </w:r>
      <w:r w:rsidR="000820E6">
        <w:t>1716 PSD March 2023 MSAC meeting</w:t>
      </w:r>
      <w:r w:rsidR="000820E6" w:rsidRPr="11FAFD31">
        <w:rPr>
          <w:vertAlign w:val="superscript"/>
        </w:rPr>
        <w:t>1</w:t>
      </w:r>
      <w:r w:rsidR="00AC02D9" w:rsidRPr="11FAFD31">
        <w:rPr>
          <w:color w:val="000000" w:themeColor="text1"/>
        </w:rPr>
        <w:t xml:space="preserve"> </w:t>
      </w:r>
      <w:r>
        <w:t>noted that an increase in volume of testing using next generation sequencing (NGS) method may result in reduction in the average cost of testing due to a lower sequencing cost achieved when samples are run at maximum flow cell capacity.</w:t>
      </w:r>
      <w:r w:rsidR="004610C3">
        <w:t xml:space="preserve"> However, MSAC noted that MBS item 73295 still </w:t>
      </w:r>
      <w:r w:rsidR="001523BF">
        <w:t xml:space="preserve">had </w:t>
      </w:r>
      <w:r w:rsidR="004610C3">
        <w:t xml:space="preserve">a fee of $1,200, and that the department </w:t>
      </w:r>
      <w:r w:rsidR="001523BF">
        <w:t>wa</w:t>
      </w:r>
      <w:r w:rsidR="004610C3">
        <w:t xml:space="preserve">s investigating whether a fee of $1,000 or $1,200 would be more appropriate. MSAC acknowledged that </w:t>
      </w:r>
      <w:r w:rsidR="004610C3" w:rsidRPr="11FAFD31">
        <w:rPr>
          <w:i/>
          <w:iCs/>
        </w:rPr>
        <w:t>BRCA1/2</w:t>
      </w:r>
      <w:r w:rsidR="004610C3">
        <w:t xml:space="preserve"> are large genes and the cost of testing could be higher than smaller genes. MSAC noted stakeholder feedback that a fee of $1,200 was more appropriate and better reflected the costs involved in undertaking the assay and necessary reporting requirements. MSAC also acknowledged that supporting an insufficient fee could result in out-of-pocket costs to consumers. MSAC considered that if a fee of $1,200 were accepted for this application that the fee for item 73304 might need to be reconsidered to align the two.</w:t>
      </w:r>
    </w:p>
    <w:p w14:paraId="04ADAEB8" w14:textId="18827ECC" w:rsidR="0066027B" w:rsidRPr="00650693" w:rsidRDefault="005B3CC3" w:rsidP="005B3CC3">
      <w:r>
        <w:t xml:space="preserve">The submission </w:t>
      </w:r>
      <w:r w:rsidR="00751A22">
        <w:t xml:space="preserve">stated </w:t>
      </w:r>
      <w:r>
        <w:t xml:space="preserve">that </w:t>
      </w:r>
      <w:r w:rsidR="006E32A8">
        <w:t>g</w:t>
      </w:r>
      <w:r w:rsidRPr="0066027B">
        <w:rPr>
          <w:i/>
          <w:iCs/>
        </w:rPr>
        <w:t>BRCA</w:t>
      </w:r>
      <w:r w:rsidRPr="5222993A">
        <w:t xml:space="preserve"> testing </w:t>
      </w:r>
      <w:r w:rsidR="00A24287" w:rsidRPr="5222993A">
        <w:t>inform</w:t>
      </w:r>
      <w:r w:rsidR="00A24287">
        <w:t>ed</w:t>
      </w:r>
      <w:r w:rsidR="00A24287" w:rsidRPr="5222993A">
        <w:t xml:space="preserve"> </w:t>
      </w:r>
      <w:r w:rsidRPr="5222993A">
        <w:t xml:space="preserve">patients of familial risk and </w:t>
      </w:r>
      <w:r w:rsidR="00751A22" w:rsidRPr="5222993A">
        <w:t>facilitate</w:t>
      </w:r>
      <w:r w:rsidR="00751A22">
        <w:t>d</w:t>
      </w:r>
      <w:r w:rsidR="00751A22" w:rsidRPr="5222993A">
        <w:t xml:space="preserve"> </w:t>
      </w:r>
      <w:r w:rsidRPr="5222993A">
        <w:t>cascade testing for unaffected family members.</w:t>
      </w:r>
      <w:r w:rsidR="00583870">
        <w:t xml:space="preserve"> </w:t>
      </w:r>
      <w:r w:rsidR="0066027B">
        <w:t xml:space="preserve">The commentary noted that the submission did not include </w:t>
      </w:r>
      <w:r w:rsidR="004610C3">
        <w:t>consideration of</w:t>
      </w:r>
      <w:r w:rsidR="0066027B">
        <w:t xml:space="preserve"> cascade testing. </w:t>
      </w:r>
    </w:p>
    <w:p w14:paraId="34E0B08F" w14:textId="58769346" w:rsidR="00772829" w:rsidRPr="00CE28E3" w:rsidRDefault="00801332" w:rsidP="002A18BE">
      <w:pPr>
        <w:pStyle w:val="Heading2"/>
        <w:numPr>
          <w:ilvl w:val="0"/>
          <w:numId w:val="0"/>
        </w:numPr>
      </w:pPr>
      <w:bookmarkStart w:id="11" w:name="_Toc69491419"/>
      <w:r>
        <w:t>7</w:t>
      </w:r>
      <w:r w:rsidR="00C36633">
        <w:t>.</w:t>
      </w:r>
      <w:r w:rsidR="00C36633">
        <w:tab/>
      </w:r>
      <w:r w:rsidR="00772829" w:rsidRPr="00CE28E3">
        <w:t>Population</w:t>
      </w:r>
      <w:bookmarkEnd w:id="11"/>
      <w:r w:rsidR="00772829" w:rsidRPr="00CE28E3">
        <w:t xml:space="preserve"> </w:t>
      </w:r>
    </w:p>
    <w:p w14:paraId="7A502FFF" w14:textId="399E5827" w:rsidR="00403510" w:rsidRDefault="00403510" w:rsidP="0066027B">
      <w:r>
        <w:t xml:space="preserve">The submission’s proposed test population was </w:t>
      </w:r>
      <w:r w:rsidR="00D649A6">
        <w:t>p</w:t>
      </w:r>
      <w:r w:rsidRPr="00403510">
        <w:t>atients with HER2-negative disease with mBC who have received prior (neo)adjuvant chemotherapy</w:t>
      </w:r>
      <w:r>
        <w:t xml:space="preserve">. </w:t>
      </w:r>
    </w:p>
    <w:p w14:paraId="2FF27533" w14:textId="016E3ECF" w:rsidR="00403510" w:rsidRPr="00403510" w:rsidRDefault="00403510" w:rsidP="0066027B">
      <w:bookmarkStart w:id="12" w:name="_Ref164714560"/>
      <w:r w:rsidRPr="00403510">
        <w:t>Clarification from the sponsor received during the</w:t>
      </w:r>
      <w:r>
        <w:t xml:space="preserve"> PBAC</w:t>
      </w:r>
      <w:r w:rsidRPr="00403510">
        <w:t xml:space="preserve"> evaluation stated that the requested population </w:t>
      </w:r>
      <w:r w:rsidR="006D1283">
        <w:t>included</w:t>
      </w:r>
      <w:r w:rsidRPr="00403510">
        <w:t xml:space="preserve"> two populations:</w:t>
      </w:r>
      <w:bookmarkEnd w:id="12"/>
    </w:p>
    <w:p w14:paraId="0386F960" w14:textId="1F8A9BEE" w:rsidR="00403510" w:rsidRPr="00403510" w:rsidRDefault="00403510" w:rsidP="00FF07E6">
      <w:pPr>
        <w:pStyle w:val="ListParagraph"/>
        <w:numPr>
          <w:ilvl w:val="0"/>
          <w:numId w:val="15"/>
        </w:numPr>
        <w:ind w:left="284" w:hanging="284"/>
      </w:pPr>
      <w:r w:rsidRPr="00403510">
        <w:t>Population 1 (no prior chemotherapy for mBC) includes patients who receive</w:t>
      </w:r>
      <w:r w:rsidR="00E332E5">
        <w:t>d</w:t>
      </w:r>
      <w:r w:rsidRPr="00403510">
        <w:t xml:space="preserve"> chemotherapy (anthracycline/taxane) in an early disease setting (neoadjuvant or adjuvant) prior to progressing to the metastatic disease setting. These patients may receive 1L olaparib treatment, thus keeping in line with the TGA </w:t>
      </w:r>
      <w:r w:rsidR="003E1E39">
        <w:t>approved indication</w:t>
      </w:r>
      <w:r w:rsidR="003E1E39" w:rsidRPr="00403510">
        <w:t xml:space="preserve"> </w:t>
      </w:r>
      <w:r w:rsidRPr="00403510">
        <w:t>for olaparib treatment; and</w:t>
      </w:r>
    </w:p>
    <w:p w14:paraId="6C19952A" w14:textId="238CAAC4" w:rsidR="00403510" w:rsidRPr="00C5365C" w:rsidRDefault="00403510" w:rsidP="00C5365C">
      <w:pPr>
        <w:pStyle w:val="ListParagraph"/>
        <w:numPr>
          <w:ilvl w:val="0"/>
          <w:numId w:val="15"/>
        </w:numPr>
        <w:ind w:left="284" w:hanging="284"/>
        <w:rPr>
          <w:i/>
          <w:iCs/>
        </w:rPr>
      </w:pPr>
      <w:r w:rsidRPr="00403510">
        <w:t>Population 2 (</w:t>
      </w:r>
      <w:r w:rsidRPr="00C5365C">
        <w:rPr>
          <w:i/>
          <w:iCs/>
        </w:rPr>
        <w:t>de novo</w:t>
      </w:r>
      <w:r w:rsidRPr="00403510">
        <w:t xml:space="preserve"> mBC) includes patients who have metastatic disease at </w:t>
      </w:r>
      <w:r w:rsidR="006D1283">
        <w:t xml:space="preserve">the </w:t>
      </w:r>
      <w:r w:rsidRPr="00403510">
        <w:t xml:space="preserve">time of first diagnosis. This population still require some form of chemotherapy (anthracycline/taxane) prior to receiving olaparib treatment in order to remain in line with the </w:t>
      </w:r>
      <w:r w:rsidR="006E32A8">
        <w:t>TGA indication</w:t>
      </w:r>
      <w:r w:rsidRPr="00403510">
        <w:t xml:space="preserve">. As such, the submission proposed that these patients will be required to receive chemotherapy </w:t>
      </w:r>
      <w:r w:rsidRPr="00403510">
        <w:lastRenderedPageBreak/>
        <w:t xml:space="preserve">(anthracycline/taxane) as 1L treatment for mBC and subsequently should receive 2L olaparib treatment. The submission claimed that clinicians would appreciate the flexibility to initiate treatment with olaparib in </w:t>
      </w:r>
      <w:r w:rsidRPr="00C5365C">
        <w:rPr>
          <w:i/>
          <w:iCs/>
        </w:rPr>
        <w:t>de novo</w:t>
      </w:r>
      <w:r w:rsidRPr="00403510">
        <w:t xml:space="preserve"> patients without the need to first prescribe chemotherapy </w:t>
      </w:r>
      <w:r w:rsidR="00C5365C" w:rsidRPr="00C5365C">
        <w:rPr>
          <w:i/>
        </w:rPr>
        <w:t xml:space="preserve">The Pharmaceutical Benefits Advisory Committee (PBAC) Economics Sub Committee (ESC) did not consider it appropriate to initiate olaparib treatment in patients who had not received prior chemotherapy, a use not supported by the current evidence (para. 1.5, Olaparib ESC ADV 07-2024). </w:t>
      </w:r>
    </w:p>
    <w:p w14:paraId="6138F85D" w14:textId="0A01A9B8" w:rsidR="00403510" w:rsidRDefault="00403510" w:rsidP="0066027B">
      <w:r w:rsidRPr="00403510">
        <w:t xml:space="preserve">MSAC application </w:t>
      </w:r>
      <w:r w:rsidR="0031141C" w:rsidRPr="0069304F">
        <w:t>1507</w:t>
      </w:r>
      <w:r w:rsidR="0031141C">
        <w:rPr>
          <w:vertAlign w:val="superscript"/>
        </w:rPr>
        <w:t>1</w:t>
      </w:r>
      <w:r w:rsidR="0031141C" w:rsidRPr="00403510">
        <w:t xml:space="preserve"> </w:t>
      </w:r>
      <w:r w:rsidRPr="00403510">
        <w:t>was considered at the 8 December 2017 PICO Advisory Sub-Committee (PASC) meeting, however the MSAC application was not previously considered by MSAC ESC or MSAC</w:t>
      </w:r>
      <w:r>
        <w:t xml:space="preserve">. </w:t>
      </w:r>
      <w:r w:rsidRPr="00403510">
        <w:t xml:space="preserve">The requested population in the </w:t>
      </w:r>
      <w:r w:rsidR="00C96BC8">
        <w:t xml:space="preserve">current </w:t>
      </w:r>
      <w:r w:rsidRPr="00403510">
        <w:t xml:space="preserve">submission </w:t>
      </w:r>
      <w:r w:rsidR="0054105C" w:rsidRPr="00403510">
        <w:t>specifie</w:t>
      </w:r>
      <w:r w:rsidR="0054105C">
        <w:t>d</w:t>
      </w:r>
      <w:r w:rsidR="0054105C" w:rsidRPr="00403510">
        <w:t xml:space="preserve"> </w:t>
      </w:r>
      <w:r w:rsidRPr="00403510">
        <w:t xml:space="preserve">that patients must have received no prior chemotherapy in the metastatic setting. Whereas the population in the ratified </w:t>
      </w:r>
      <w:r w:rsidR="00BB5F8E" w:rsidRPr="0069304F">
        <w:t>MSAC 1507 PICO Confirmation</w:t>
      </w:r>
      <w:r w:rsidR="004610C3">
        <w:rPr>
          <w:color w:val="000000" w:themeColor="text1"/>
        </w:rPr>
        <w:t xml:space="preserve"> </w:t>
      </w:r>
      <w:r w:rsidR="0054105C" w:rsidRPr="00403510">
        <w:t>require</w:t>
      </w:r>
      <w:r w:rsidR="0054105C">
        <w:t>d</w:t>
      </w:r>
      <w:r w:rsidR="0054105C" w:rsidRPr="00403510">
        <w:t xml:space="preserve"> </w:t>
      </w:r>
      <w:r w:rsidRPr="00403510">
        <w:t xml:space="preserve">that patients </w:t>
      </w:r>
      <w:r w:rsidR="0054105C" w:rsidRPr="00403510">
        <w:t>ha</w:t>
      </w:r>
      <w:r w:rsidR="0054105C">
        <w:t>d</w:t>
      </w:r>
      <w:r w:rsidR="0054105C" w:rsidRPr="00403510">
        <w:t xml:space="preserve"> </w:t>
      </w:r>
      <w:r w:rsidRPr="00403510">
        <w:t>received chemotherapy (taxane or anthracycline) in the neoadjuvant, adjuvant or metastatic setting (consistent with the TGA indication)</w:t>
      </w:r>
      <w:r w:rsidR="00565952">
        <w:t>.</w:t>
      </w:r>
    </w:p>
    <w:p w14:paraId="2598661C" w14:textId="7C0EF78B" w:rsidR="00565952" w:rsidRDefault="00565952" w:rsidP="00403510">
      <w:pPr>
        <w:pStyle w:val="ListBullet"/>
        <w:numPr>
          <w:ilvl w:val="0"/>
          <w:numId w:val="0"/>
        </w:numPr>
        <w:spacing w:after="120"/>
        <w:contextualSpacing w:val="0"/>
        <w:rPr>
          <w:rFonts w:ascii="Franklin Gothic Book" w:hAnsi="Franklin Gothic Book"/>
          <w:sz w:val="22"/>
          <w:szCs w:val="22"/>
        </w:rPr>
      </w:pPr>
      <w:r>
        <w:rPr>
          <w:rFonts w:ascii="Franklin Gothic Book" w:hAnsi="Franklin Gothic Book"/>
          <w:sz w:val="22"/>
          <w:szCs w:val="22"/>
        </w:rPr>
        <w:t xml:space="preserve">The </w:t>
      </w:r>
      <w:r w:rsidR="00BB5F8E" w:rsidRPr="00AE4CDB">
        <w:rPr>
          <w:rFonts w:ascii="Franklin Gothic Book" w:hAnsi="Franklin Gothic Book"/>
          <w:sz w:val="22"/>
          <w:szCs w:val="22"/>
        </w:rPr>
        <w:t xml:space="preserve">MSAC 1507 PICO </w:t>
      </w:r>
      <w:r w:rsidR="00824AF2" w:rsidRPr="00AE4CDB">
        <w:rPr>
          <w:rFonts w:ascii="Franklin Gothic Book" w:hAnsi="Franklin Gothic Book"/>
          <w:sz w:val="22"/>
          <w:szCs w:val="22"/>
        </w:rPr>
        <w:t>Confirmation</w:t>
      </w:r>
      <w:r w:rsidR="00824AF2">
        <w:rPr>
          <w:rFonts w:ascii="Franklin Gothic Book" w:hAnsi="Franklin Gothic Book"/>
          <w:sz w:val="22"/>
          <w:szCs w:val="22"/>
          <w:vertAlign w:val="superscript"/>
        </w:rPr>
        <w:t>1</w:t>
      </w:r>
      <w:r w:rsidR="00824AF2" w:rsidRPr="00D978C8">
        <w:rPr>
          <w:rFonts w:ascii="Franklin Gothic Book" w:hAnsi="Franklin Gothic Book"/>
          <w:color w:val="000000" w:themeColor="text1"/>
          <w:sz w:val="22"/>
          <w:szCs w:val="22"/>
        </w:rPr>
        <w:t xml:space="preserve"> </w:t>
      </w:r>
      <w:r w:rsidRPr="00911FBA">
        <w:rPr>
          <w:rFonts w:ascii="Franklin Gothic Book" w:hAnsi="Franklin Gothic Book"/>
          <w:sz w:val="22"/>
          <w:szCs w:val="22"/>
        </w:rPr>
        <w:t>in</w:t>
      </w:r>
      <w:r>
        <w:rPr>
          <w:rFonts w:ascii="Franklin Gothic Book" w:hAnsi="Franklin Gothic Book"/>
          <w:sz w:val="22"/>
          <w:szCs w:val="22"/>
        </w:rPr>
        <w:t>cluded the clinical management algorithm</w:t>
      </w:r>
      <w:r w:rsidR="00967DFD">
        <w:rPr>
          <w:rFonts w:ascii="Franklin Gothic Book" w:hAnsi="Franklin Gothic Book"/>
          <w:sz w:val="22"/>
          <w:szCs w:val="22"/>
        </w:rPr>
        <w:t xml:space="preserve"> presented in</w:t>
      </w:r>
      <w:r w:rsidR="00BB5F8E">
        <w:rPr>
          <w:rFonts w:ascii="Franklin Gothic Book" w:hAnsi="Franklin Gothic Book"/>
          <w:sz w:val="22"/>
          <w:szCs w:val="22"/>
        </w:rPr>
        <w:t xml:space="preserve"> </w:t>
      </w:r>
      <w:r w:rsidR="00BB5F8E" w:rsidRPr="00BB5F8E">
        <w:rPr>
          <w:rFonts w:ascii="Franklin Gothic Book" w:hAnsi="Franklin Gothic Book"/>
          <w:sz w:val="22"/>
          <w:szCs w:val="22"/>
        </w:rPr>
        <w:fldChar w:fldCharType="begin"/>
      </w:r>
      <w:r w:rsidR="00BB5F8E" w:rsidRPr="00BB5F8E">
        <w:rPr>
          <w:rFonts w:ascii="Franklin Gothic Book" w:hAnsi="Franklin Gothic Book"/>
          <w:sz w:val="22"/>
          <w:szCs w:val="22"/>
        </w:rPr>
        <w:instrText xml:space="preserve"> REF _Ref174470842 \h  \* MERGEFORMAT </w:instrText>
      </w:r>
      <w:r w:rsidR="00BB5F8E" w:rsidRPr="00BB5F8E">
        <w:rPr>
          <w:rFonts w:ascii="Franklin Gothic Book" w:hAnsi="Franklin Gothic Book"/>
          <w:sz w:val="22"/>
          <w:szCs w:val="22"/>
        </w:rPr>
      </w:r>
      <w:r w:rsidR="00BB5F8E" w:rsidRPr="00BB5F8E">
        <w:rPr>
          <w:rFonts w:ascii="Franklin Gothic Book" w:hAnsi="Franklin Gothic Book"/>
          <w:sz w:val="22"/>
          <w:szCs w:val="22"/>
        </w:rPr>
        <w:fldChar w:fldCharType="separate"/>
      </w:r>
      <w:r w:rsidR="00325DE1" w:rsidRPr="00AD596B">
        <w:rPr>
          <w:rFonts w:ascii="Franklin Gothic Book" w:hAnsi="Franklin Gothic Book"/>
          <w:sz w:val="22"/>
          <w:szCs w:val="22"/>
        </w:rPr>
        <w:t xml:space="preserve">Figure </w:t>
      </w:r>
      <w:r w:rsidR="00325DE1" w:rsidRPr="00AD596B">
        <w:rPr>
          <w:rFonts w:ascii="Franklin Gothic Book" w:hAnsi="Franklin Gothic Book"/>
          <w:noProof/>
          <w:sz w:val="22"/>
          <w:szCs w:val="22"/>
        </w:rPr>
        <w:t>1</w:t>
      </w:r>
      <w:r w:rsidR="00BB5F8E" w:rsidRPr="00BB5F8E">
        <w:rPr>
          <w:rFonts w:ascii="Franklin Gothic Book" w:hAnsi="Franklin Gothic Book"/>
          <w:sz w:val="22"/>
          <w:szCs w:val="22"/>
        </w:rPr>
        <w:fldChar w:fldCharType="end"/>
      </w:r>
      <w:r w:rsidR="00BB5F8E">
        <w:rPr>
          <w:rFonts w:ascii="Franklin Gothic Book" w:hAnsi="Franklin Gothic Book"/>
          <w:sz w:val="22"/>
          <w:szCs w:val="22"/>
        </w:rPr>
        <w:t>.</w:t>
      </w:r>
    </w:p>
    <w:p w14:paraId="760FD922" w14:textId="5909DBA5" w:rsidR="00B76582" w:rsidRDefault="00B76582" w:rsidP="00403510">
      <w:pPr>
        <w:pStyle w:val="ListBullet"/>
        <w:numPr>
          <w:ilvl w:val="0"/>
          <w:numId w:val="0"/>
        </w:numPr>
        <w:spacing w:after="120"/>
        <w:contextualSpacing w:val="0"/>
        <w:rPr>
          <w:rFonts w:ascii="Franklin Gothic Book" w:hAnsi="Franklin Gothic Book"/>
          <w:sz w:val="22"/>
          <w:szCs w:val="22"/>
        </w:rPr>
      </w:pPr>
      <w:r>
        <w:rPr>
          <w:noProof/>
          <w:color w:val="FF0000"/>
        </w:rPr>
        <w:drawing>
          <wp:inline distT="0" distB="0" distL="0" distR="0" wp14:anchorId="6A3C312A" wp14:editId="67D428DD">
            <wp:extent cx="5731510" cy="5187950"/>
            <wp:effectExtent l="0" t="0" r="2540" b="0"/>
            <wp:docPr id="9" name="Picture 9" descr="Description of proposed Clinical Management Algorithm" title="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eatment algorithm - futur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5187950"/>
                    </a:xfrm>
                    <a:prstGeom prst="rect">
                      <a:avLst/>
                    </a:prstGeom>
                  </pic:spPr>
                </pic:pic>
              </a:graphicData>
            </a:graphic>
          </wp:inline>
        </w:drawing>
      </w:r>
    </w:p>
    <w:p w14:paraId="31408A3F" w14:textId="3C2A1EBC" w:rsidR="00967DFD" w:rsidRPr="00AF7F1B" w:rsidRDefault="00967DFD" w:rsidP="00967DFD">
      <w:pPr>
        <w:pStyle w:val="Caption"/>
      </w:pPr>
      <w:bookmarkStart w:id="13" w:name="_Ref174470842"/>
      <w:r w:rsidRPr="00AF7F1B">
        <w:t xml:space="preserve">Figure </w:t>
      </w:r>
      <w:r>
        <w:fldChar w:fldCharType="begin"/>
      </w:r>
      <w:r>
        <w:instrText>SEQ Figure \* ARABIC</w:instrText>
      </w:r>
      <w:r>
        <w:fldChar w:fldCharType="separate"/>
      </w:r>
      <w:r w:rsidR="00325DE1">
        <w:rPr>
          <w:noProof/>
        </w:rPr>
        <w:t>1</w:t>
      </w:r>
      <w:r>
        <w:fldChar w:fldCharType="end"/>
      </w:r>
      <w:bookmarkEnd w:id="13"/>
      <w:r w:rsidRPr="00AF7F1B">
        <w:tab/>
        <w:t>Proposed clinical treatment algorithm</w:t>
      </w:r>
      <w:r>
        <w:t xml:space="preserve"> in the MSAC 1507 PICO Confirmation</w:t>
      </w:r>
    </w:p>
    <w:p w14:paraId="0434334B" w14:textId="70C559E2" w:rsidR="00403510" w:rsidRPr="0066027B" w:rsidRDefault="00B76582" w:rsidP="00403510">
      <w:pPr>
        <w:pStyle w:val="ListBullet"/>
        <w:numPr>
          <w:ilvl w:val="0"/>
          <w:numId w:val="0"/>
        </w:numPr>
        <w:spacing w:after="120"/>
        <w:contextualSpacing w:val="0"/>
        <w:rPr>
          <w:rFonts w:ascii="Arial Narrow" w:hAnsi="Arial Narrow"/>
          <w:sz w:val="18"/>
          <w:szCs w:val="18"/>
        </w:rPr>
      </w:pPr>
      <w:r w:rsidRPr="0066027B">
        <w:rPr>
          <w:rFonts w:ascii="Arial Narrow" w:hAnsi="Arial Narrow"/>
          <w:sz w:val="18"/>
          <w:szCs w:val="18"/>
        </w:rPr>
        <w:t xml:space="preserve">Source: Figure 2, p15 of 1507 PICO confirmation. </w:t>
      </w:r>
    </w:p>
    <w:p w14:paraId="7FECF8B7" w14:textId="27468D3D" w:rsidR="00B76582" w:rsidRDefault="00B76582" w:rsidP="0066027B">
      <w:r>
        <w:lastRenderedPageBreak/>
        <w:t xml:space="preserve">However, </w:t>
      </w:r>
      <w:r w:rsidR="00D649A6">
        <w:t xml:space="preserve">the commentary noted that </w:t>
      </w:r>
      <w:r>
        <w:t xml:space="preserve">treatment </w:t>
      </w:r>
      <w:r w:rsidR="002A6C6F">
        <w:t xml:space="preserve">had </w:t>
      </w:r>
      <w:r>
        <w:t xml:space="preserve">evolved since 2017, with the advent of CDK4/6 inhibitors for </w:t>
      </w:r>
      <w:r w:rsidR="00D92DDB">
        <w:t>hormone receptor positive (HR</w:t>
      </w:r>
      <w:r>
        <w:t>+</w:t>
      </w:r>
      <w:r w:rsidR="00D92DDB">
        <w:t>)</w:t>
      </w:r>
      <w:r>
        <w:t xml:space="preserve"> disease and of targeted therapies such as pembrolizumab plus chemotherapy and </w:t>
      </w:r>
      <w:r w:rsidR="00F87911">
        <w:t>s</w:t>
      </w:r>
      <w:r>
        <w:t xml:space="preserve">acituzumab govitecan in </w:t>
      </w:r>
      <w:r w:rsidR="00F87911">
        <w:t>TNBC</w:t>
      </w:r>
      <w:r>
        <w:t xml:space="preserve">. The submission presented the following proposed clinical management algorithms, but they only represent management for </w:t>
      </w:r>
      <w:r w:rsidR="00F87911">
        <w:t>patients</w:t>
      </w:r>
      <w:r>
        <w:t xml:space="preserve"> after they have tested positive for </w:t>
      </w:r>
      <w:r w:rsidRPr="0066027B">
        <w:rPr>
          <w:i/>
          <w:iCs/>
        </w:rPr>
        <w:t xml:space="preserve">BRCA </w:t>
      </w:r>
      <w:r w:rsidR="00D649A6" w:rsidRPr="0066027B">
        <w:rPr>
          <w:i/>
          <w:iCs/>
        </w:rPr>
        <w:t>1/2</w:t>
      </w:r>
      <w:r>
        <w:t xml:space="preserve"> </w:t>
      </w:r>
      <w:r w:rsidR="003E1E39">
        <w:t>variants</w:t>
      </w:r>
      <w:r>
        <w:t>.</w:t>
      </w:r>
      <w:r w:rsidR="00D649A6">
        <w:t xml:space="preserve"> This is further discussed in the comparator section below. </w:t>
      </w:r>
    </w:p>
    <w:p w14:paraId="73649EA0" w14:textId="7E6719C3" w:rsidR="00B76582" w:rsidRDefault="00B76582" w:rsidP="00967DFD">
      <w:r>
        <w:fldChar w:fldCharType="begin"/>
      </w:r>
      <w:r>
        <w:instrText xml:space="preserve"> REF _Ref167108554 \h </w:instrText>
      </w:r>
      <w:r w:rsidR="00967DFD">
        <w:instrText xml:space="preserve"> \* MERGEFORMAT </w:instrText>
      </w:r>
      <w:r>
        <w:fldChar w:fldCharType="separate"/>
      </w:r>
      <w:r w:rsidR="00325DE1" w:rsidRPr="00AF7F1B">
        <w:t xml:space="preserve">Figure </w:t>
      </w:r>
      <w:r w:rsidR="00325DE1">
        <w:rPr>
          <w:noProof/>
        </w:rPr>
        <w:t>2</w:t>
      </w:r>
      <w:r>
        <w:fldChar w:fldCharType="end"/>
      </w:r>
      <w:r>
        <w:t xml:space="preserve"> </w:t>
      </w:r>
      <w:r w:rsidRPr="004D70F4">
        <w:t xml:space="preserve">presents the </w:t>
      </w:r>
      <w:r w:rsidR="00C5022A">
        <w:t xml:space="preserve">submission’s </w:t>
      </w:r>
      <w:r w:rsidRPr="004D70F4">
        <w:t>proposed treatment algorithm for HER2-</w:t>
      </w:r>
      <w:r w:rsidR="00A156E9">
        <w:t>negative</w:t>
      </w:r>
      <w:r w:rsidR="008477A4">
        <w:t xml:space="preserve"> </w:t>
      </w:r>
      <w:r w:rsidRPr="004D70F4">
        <w:t>g</w:t>
      </w:r>
      <w:r w:rsidRPr="0066027B">
        <w:rPr>
          <w:i/>
          <w:iCs/>
        </w:rPr>
        <w:t>BRCA</w:t>
      </w:r>
      <w:r w:rsidRPr="003E1E39">
        <w:t>m</w:t>
      </w:r>
      <w:r w:rsidRPr="004D70F4">
        <w:t xml:space="preserve"> mBC</w:t>
      </w:r>
      <w:r w:rsidR="008F4B6E">
        <w:t xml:space="preserve"> </w:t>
      </w:r>
      <w:r w:rsidRPr="004D70F4">
        <w:t>patients with no prior chemo</w:t>
      </w:r>
      <w:r w:rsidR="00CB03DD">
        <w:t>therapy</w:t>
      </w:r>
      <w:r w:rsidRPr="004D70F4">
        <w:t xml:space="preserve"> in </w:t>
      </w:r>
      <w:r w:rsidR="00967DFD">
        <w:t xml:space="preserve">the </w:t>
      </w:r>
      <w:r w:rsidR="003E1E39">
        <w:t>metastatic</w:t>
      </w:r>
      <w:r w:rsidR="003E1E39" w:rsidRPr="004D70F4">
        <w:t xml:space="preserve"> </w:t>
      </w:r>
      <w:r w:rsidR="00967DFD">
        <w:t xml:space="preserve">setting </w:t>
      </w:r>
      <w:r w:rsidR="00CC4651">
        <w:t>(</w:t>
      </w:r>
      <w:r w:rsidR="000F0DCF">
        <w:t>but</w:t>
      </w:r>
      <w:r w:rsidRPr="004D70F4">
        <w:t xml:space="preserve"> who have previously had (neo)adjuvant chemotherapy</w:t>
      </w:r>
      <w:r w:rsidR="00CC4651">
        <w:t>)</w:t>
      </w:r>
      <w:r w:rsidRPr="004D70F4">
        <w:t>.</w:t>
      </w:r>
      <w:r>
        <w:t xml:space="preserve"> </w:t>
      </w:r>
      <w:r w:rsidR="00581FCA" w:rsidRPr="00581FCA">
        <w:t xml:space="preserve">The submission stated the algorithm aligns with the European Society of Medical Oncology (ESMO) treatment guidelines (ESMO Living Guidelines May 2023) prepared by </w:t>
      </w:r>
      <w:r w:rsidR="00F87911" w:rsidRPr="00581FCA">
        <w:rPr>
          <w:color w:val="000000" w:themeColor="text1"/>
        </w:rPr>
        <w:t>Curgliano 2023</w:t>
      </w:r>
      <w:r w:rsidR="00F87911" w:rsidRPr="00581FCA">
        <w:rPr>
          <w:color w:val="000000" w:themeColor="text1"/>
          <w:vertAlign w:val="superscript"/>
        </w:rPr>
        <w:footnoteReference w:id="6"/>
      </w:r>
      <w:r w:rsidR="00F87911" w:rsidRPr="00581FCA">
        <w:rPr>
          <w:color w:val="000000" w:themeColor="text1"/>
        </w:rPr>
        <w:t xml:space="preserve"> </w:t>
      </w:r>
      <w:r w:rsidR="00581FCA" w:rsidRPr="00581FCA">
        <w:t xml:space="preserve">and ASCO guidelines </w:t>
      </w:r>
      <w:r w:rsidR="00F87911" w:rsidRPr="00581FCA">
        <w:rPr>
          <w:color w:val="000000" w:themeColor="text1"/>
        </w:rPr>
        <w:t>(Al Sukhun 2024)</w:t>
      </w:r>
      <w:r w:rsidR="00F87911">
        <w:rPr>
          <w:rStyle w:val="FootnoteReference"/>
          <w:color w:val="000000" w:themeColor="text1"/>
        </w:rPr>
        <w:footnoteReference w:id="7"/>
      </w:r>
      <w:r w:rsidR="00F87911" w:rsidRPr="00581FCA">
        <w:rPr>
          <w:color w:val="000000" w:themeColor="text1"/>
        </w:rPr>
        <w:t xml:space="preserve"> </w:t>
      </w:r>
      <w:r w:rsidR="00F87911">
        <w:rPr>
          <w:color w:val="000000" w:themeColor="text1"/>
        </w:rPr>
        <w:t xml:space="preserve">, </w:t>
      </w:r>
      <w:r w:rsidR="00581FCA" w:rsidRPr="00581FCA">
        <w:t>for this patient group. Th</w:t>
      </w:r>
      <w:r w:rsidR="00967DFD">
        <w:t>e commentary noted th</w:t>
      </w:r>
      <w:r w:rsidR="00581FCA" w:rsidRPr="00581FCA">
        <w:t xml:space="preserve">is was not entirely accurate. In HR+ patients, except in the case of risk of organ failure, chemotherapy is not recommended as a second line option, which was inconsistent with both the nominated comparator and the comparator in the </w:t>
      </w:r>
      <w:r w:rsidR="00730869">
        <w:t>pivotal</w:t>
      </w:r>
      <w:r w:rsidR="00A21AA2">
        <w:t xml:space="preserve"> </w:t>
      </w:r>
      <w:r w:rsidR="00581FCA" w:rsidRPr="00581FCA">
        <w:t>OlympiAD trial.</w:t>
      </w:r>
    </w:p>
    <w:p w14:paraId="396419DA" w14:textId="77777777" w:rsidR="00B76582" w:rsidRPr="004D70F4" w:rsidRDefault="00B76582" w:rsidP="00B76582">
      <w:r w:rsidRPr="004D70F4">
        <w:rPr>
          <w:rFonts w:ascii="Arial" w:hAnsi="Arial"/>
          <w:noProof/>
        </w:rPr>
        <w:drawing>
          <wp:inline distT="0" distB="0" distL="0" distR="0" wp14:anchorId="7324DE2D" wp14:editId="241FC403">
            <wp:extent cx="5732145" cy="3106956"/>
            <wp:effectExtent l="0" t="0" r="0" b="5080"/>
            <wp:docPr id="14" name="Picture 14" descr="Submission’s proposed treatment algorithm for HER2- gBRCAm mBC in patients with no prior chemo in m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ubmission’s proposed treatment algorithm for HER2- gBRCAm mBC in patients with no prior chemo in mB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145" cy="3106956"/>
                    </a:xfrm>
                    <a:prstGeom prst="rect">
                      <a:avLst/>
                    </a:prstGeom>
                    <a:noFill/>
                  </pic:spPr>
                </pic:pic>
              </a:graphicData>
            </a:graphic>
          </wp:inline>
        </w:drawing>
      </w:r>
    </w:p>
    <w:p w14:paraId="3F4672BD" w14:textId="6BA77071" w:rsidR="00967DFD" w:rsidRPr="004D70F4" w:rsidRDefault="00967DFD" w:rsidP="0066027B">
      <w:pPr>
        <w:pStyle w:val="Caption"/>
      </w:pPr>
      <w:bookmarkStart w:id="14" w:name="_Ref167108554"/>
      <w:r w:rsidRPr="00AF7F1B">
        <w:t xml:space="preserve">Figure </w:t>
      </w:r>
      <w:r>
        <w:fldChar w:fldCharType="begin"/>
      </w:r>
      <w:r>
        <w:instrText>SEQ Figure \* ARABIC</w:instrText>
      </w:r>
      <w:r>
        <w:fldChar w:fldCharType="separate"/>
      </w:r>
      <w:r w:rsidR="00325DE1">
        <w:rPr>
          <w:noProof/>
        </w:rPr>
        <w:t>2</w:t>
      </w:r>
      <w:r>
        <w:fldChar w:fldCharType="end"/>
      </w:r>
      <w:bookmarkEnd w:id="14"/>
      <w:r>
        <w:tab/>
      </w:r>
      <w:r w:rsidR="00C5022A">
        <w:t>Submission’s p</w:t>
      </w:r>
      <w:r w:rsidRPr="004D70F4">
        <w:t xml:space="preserve">roposed treatment algorithm for HER2- </w:t>
      </w:r>
      <w:r>
        <w:t>g</w:t>
      </w:r>
      <w:r w:rsidRPr="0066027B">
        <w:rPr>
          <w:i/>
          <w:iCs/>
        </w:rPr>
        <w:t>BRCAm</w:t>
      </w:r>
      <w:r w:rsidRPr="004D70F4">
        <w:t xml:space="preserve"> mBC in patients with no prior chemo in mBC</w:t>
      </w:r>
    </w:p>
    <w:p w14:paraId="5040971D" w14:textId="77777777" w:rsidR="00B76582" w:rsidRPr="00FA47FD" w:rsidRDefault="00B76582" w:rsidP="0066027B">
      <w:pPr>
        <w:pStyle w:val="ListBullet"/>
        <w:numPr>
          <w:ilvl w:val="0"/>
          <w:numId w:val="0"/>
        </w:numPr>
        <w:contextualSpacing w:val="0"/>
        <w:rPr>
          <w:szCs w:val="18"/>
        </w:rPr>
      </w:pPr>
      <w:r w:rsidRPr="0066027B">
        <w:rPr>
          <w:rFonts w:ascii="Arial Narrow" w:hAnsi="Arial Narrow"/>
          <w:sz w:val="18"/>
          <w:szCs w:val="18"/>
        </w:rPr>
        <w:t>Source: Figure 1.3, p28 of the submission.</w:t>
      </w:r>
    </w:p>
    <w:p w14:paraId="58F201FC" w14:textId="35CFBD09" w:rsidR="00B76582" w:rsidRPr="00FA47FD" w:rsidRDefault="00B76582" w:rsidP="0066027B">
      <w:pPr>
        <w:pStyle w:val="ListBullet"/>
        <w:numPr>
          <w:ilvl w:val="0"/>
          <w:numId w:val="0"/>
        </w:numPr>
        <w:spacing w:after="120"/>
        <w:contextualSpacing w:val="0"/>
        <w:rPr>
          <w:szCs w:val="18"/>
        </w:rPr>
      </w:pPr>
      <w:r w:rsidRPr="0066027B">
        <w:rPr>
          <w:rFonts w:ascii="Arial Narrow" w:hAnsi="Arial Narrow"/>
          <w:sz w:val="18"/>
          <w:szCs w:val="18"/>
        </w:rPr>
        <w:t xml:space="preserve">1L = 1st Line; 2L = 2nd Line; 3L = 3rd Line; 4L = 4th Line; AI = Aromatase inhibitor; </w:t>
      </w:r>
      <w:r w:rsidR="00A66AB8">
        <w:rPr>
          <w:rFonts w:ascii="Arial Narrow" w:hAnsi="Arial Narrow"/>
          <w:sz w:val="18"/>
          <w:szCs w:val="18"/>
        </w:rPr>
        <w:t xml:space="preserve">BRCAm+ = </w:t>
      </w:r>
      <w:r w:rsidR="005C2C25" w:rsidRPr="005C2C25">
        <w:rPr>
          <w:rFonts w:ascii="Arial Narrow" w:hAnsi="Arial Narrow"/>
          <w:sz w:val="18"/>
          <w:szCs w:val="18"/>
        </w:rPr>
        <w:t>BReast Cancer</w:t>
      </w:r>
      <w:r w:rsidR="005C2C25">
        <w:rPr>
          <w:rFonts w:ascii="Arial Narrow" w:hAnsi="Arial Narrow"/>
          <w:sz w:val="18"/>
          <w:szCs w:val="18"/>
        </w:rPr>
        <w:t xml:space="preserve"> </w:t>
      </w:r>
      <w:r w:rsidR="00C4278D">
        <w:rPr>
          <w:rFonts w:ascii="Arial Narrow" w:hAnsi="Arial Narrow"/>
          <w:sz w:val="18"/>
          <w:szCs w:val="18"/>
        </w:rPr>
        <w:t>gene mutated</w:t>
      </w:r>
      <w:r w:rsidR="00A66AB8">
        <w:rPr>
          <w:rFonts w:ascii="Arial Narrow" w:hAnsi="Arial Narrow"/>
          <w:sz w:val="18"/>
          <w:szCs w:val="18"/>
        </w:rPr>
        <w:t xml:space="preserve">; </w:t>
      </w:r>
      <w:r w:rsidR="009D6ECF">
        <w:rPr>
          <w:rFonts w:ascii="Arial Narrow" w:hAnsi="Arial Narrow"/>
          <w:sz w:val="18"/>
          <w:szCs w:val="18"/>
        </w:rPr>
        <w:t>CDK4/6</w:t>
      </w:r>
      <w:r w:rsidR="00D85E47">
        <w:rPr>
          <w:rFonts w:ascii="Arial Narrow" w:hAnsi="Arial Narrow"/>
          <w:sz w:val="18"/>
          <w:szCs w:val="18"/>
        </w:rPr>
        <w:t xml:space="preserve">i = </w:t>
      </w:r>
      <w:r w:rsidR="00C4278D" w:rsidRPr="00C4278D">
        <w:rPr>
          <w:rFonts w:ascii="Arial Narrow" w:hAnsi="Arial Narrow"/>
          <w:sz w:val="18"/>
          <w:szCs w:val="18"/>
        </w:rPr>
        <w:t>CDK4/6 inhibitors</w:t>
      </w:r>
      <w:r w:rsidR="00D85E47">
        <w:rPr>
          <w:rFonts w:ascii="Arial Narrow" w:hAnsi="Arial Narrow"/>
          <w:sz w:val="18"/>
          <w:szCs w:val="18"/>
        </w:rPr>
        <w:t xml:space="preserve">; </w:t>
      </w:r>
      <w:r w:rsidRPr="0066027B">
        <w:rPr>
          <w:rFonts w:ascii="Arial Narrow" w:hAnsi="Arial Narrow"/>
          <w:sz w:val="18"/>
          <w:szCs w:val="18"/>
        </w:rPr>
        <w:t xml:space="preserve">CPS = combined positive score; Fulv = Fulvestrant; </w:t>
      </w:r>
      <w:r w:rsidR="00D10F27">
        <w:rPr>
          <w:rFonts w:ascii="Arial Narrow" w:hAnsi="Arial Narrow"/>
          <w:sz w:val="18"/>
          <w:szCs w:val="18"/>
        </w:rPr>
        <w:t>HER2</w:t>
      </w:r>
      <w:r w:rsidR="00E3461E">
        <w:rPr>
          <w:rFonts w:ascii="Arial Narrow" w:hAnsi="Arial Narrow"/>
          <w:sz w:val="18"/>
          <w:szCs w:val="18"/>
        </w:rPr>
        <w:t xml:space="preserve">- = </w:t>
      </w:r>
      <w:r w:rsidR="002B5A80" w:rsidRPr="002B5A80">
        <w:rPr>
          <w:rFonts w:ascii="Arial Narrow" w:hAnsi="Arial Narrow"/>
          <w:sz w:val="18"/>
          <w:szCs w:val="18"/>
        </w:rPr>
        <w:t>human epidermal growth factor 2</w:t>
      </w:r>
      <w:r w:rsidR="00E3461E">
        <w:rPr>
          <w:rFonts w:ascii="Arial Narrow" w:hAnsi="Arial Narrow"/>
          <w:sz w:val="18"/>
          <w:szCs w:val="18"/>
        </w:rPr>
        <w:t xml:space="preserve">; </w:t>
      </w:r>
      <w:r w:rsidR="00FA0E86">
        <w:rPr>
          <w:rFonts w:ascii="Arial Narrow" w:hAnsi="Arial Narrow"/>
          <w:sz w:val="18"/>
          <w:szCs w:val="18"/>
        </w:rPr>
        <w:t>HR</w:t>
      </w:r>
      <w:r w:rsidR="00C75352">
        <w:rPr>
          <w:rFonts w:ascii="Arial Narrow" w:hAnsi="Arial Narrow"/>
          <w:sz w:val="18"/>
          <w:szCs w:val="18"/>
        </w:rPr>
        <w:t xml:space="preserve">+ = </w:t>
      </w:r>
      <w:r w:rsidR="009E2129">
        <w:rPr>
          <w:rFonts w:ascii="Arial Narrow" w:hAnsi="Arial Narrow"/>
          <w:sz w:val="18"/>
          <w:szCs w:val="18"/>
        </w:rPr>
        <w:t>h</w:t>
      </w:r>
      <w:r w:rsidR="002B5A80">
        <w:rPr>
          <w:rFonts w:ascii="Arial Narrow" w:hAnsi="Arial Narrow"/>
          <w:sz w:val="18"/>
          <w:szCs w:val="18"/>
        </w:rPr>
        <w:t>ormone</w:t>
      </w:r>
      <w:r w:rsidR="009E2129">
        <w:rPr>
          <w:rFonts w:ascii="Arial Narrow" w:hAnsi="Arial Narrow"/>
          <w:sz w:val="18"/>
          <w:szCs w:val="18"/>
        </w:rPr>
        <w:t xml:space="preserve"> receptor positive</w:t>
      </w:r>
      <w:r w:rsidR="002B5A80">
        <w:rPr>
          <w:rFonts w:ascii="Arial Narrow" w:hAnsi="Arial Narrow"/>
          <w:sz w:val="18"/>
          <w:szCs w:val="18"/>
        </w:rPr>
        <w:t xml:space="preserve"> </w:t>
      </w:r>
      <w:r w:rsidR="00C75352">
        <w:rPr>
          <w:rFonts w:ascii="Arial Narrow" w:hAnsi="Arial Narrow"/>
          <w:sz w:val="18"/>
          <w:szCs w:val="18"/>
        </w:rPr>
        <w:t>;</w:t>
      </w:r>
      <w:r w:rsidR="004B224F">
        <w:rPr>
          <w:rFonts w:ascii="Arial Narrow" w:hAnsi="Arial Narrow"/>
          <w:sz w:val="18"/>
          <w:szCs w:val="18"/>
        </w:rPr>
        <w:t xml:space="preserve">; HR- = </w:t>
      </w:r>
      <w:r w:rsidR="009E2129">
        <w:rPr>
          <w:rFonts w:ascii="Arial Narrow" w:hAnsi="Arial Narrow"/>
          <w:sz w:val="18"/>
          <w:szCs w:val="18"/>
        </w:rPr>
        <w:t>hormone receptor negative</w:t>
      </w:r>
      <w:r w:rsidR="004B224F">
        <w:rPr>
          <w:rFonts w:ascii="Arial Narrow" w:hAnsi="Arial Narrow"/>
          <w:sz w:val="18"/>
          <w:szCs w:val="18"/>
        </w:rPr>
        <w:t xml:space="preserve">; </w:t>
      </w:r>
      <w:r w:rsidRPr="0066027B">
        <w:rPr>
          <w:rFonts w:ascii="Arial Narrow" w:hAnsi="Arial Narrow"/>
          <w:sz w:val="18"/>
          <w:szCs w:val="18"/>
        </w:rPr>
        <w:t>mBC = metastatic breast cancer; SG = Sacituzumab Govitecan; TNBC = triple negative breast cancer</w:t>
      </w:r>
      <w:r w:rsidR="00760ABE">
        <w:rPr>
          <w:rFonts w:ascii="Arial Narrow" w:hAnsi="Arial Narrow"/>
          <w:sz w:val="18"/>
          <w:szCs w:val="18"/>
        </w:rPr>
        <w:t>.</w:t>
      </w:r>
    </w:p>
    <w:p w14:paraId="3E2ADFA8" w14:textId="38A94C14" w:rsidR="00B76582" w:rsidRPr="004D70F4" w:rsidRDefault="00B76582" w:rsidP="00B76582">
      <w:r>
        <w:fldChar w:fldCharType="begin"/>
      </w:r>
      <w:r>
        <w:instrText xml:space="preserve"> REF _Ref167108531 \h </w:instrText>
      </w:r>
      <w:r>
        <w:fldChar w:fldCharType="separate"/>
      </w:r>
      <w:r w:rsidR="00325DE1" w:rsidRPr="00AF7F1B">
        <w:t xml:space="preserve">Figure </w:t>
      </w:r>
      <w:r w:rsidR="00325DE1">
        <w:rPr>
          <w:noProof/>
        </w:rPr>
        <w:t>3</w:t>
      </w:r>
      <w:r>
        <w:fldChar w:fldCharType="end"/>
      </w:r>
      <w:r>
        <w:t xml:space="preserve"> </w:t>
      </w:r>
      <w:r w:rsidRPr="004D70F4">
        <w:t xml:space="preserve">presents the proposed treatment algorithm for patients with </w:t>
      </w:r>
      <w:r w:rsidRPr="0066027B">
        <w:rPr>
          <w:i/>
          <w:iCs/>
        </w:rPr>
        <w:t>de novo</w:t>
      </w:r>
      <w:r w:rsidRPr="004D70F4">
        <w:t xml:space="preserve"> mBC with a g</w:t>
      </w:r>
      <w:r w:rsidRPr="0066027B">
        <w:rPr>
          <w:i/>
          <w:iCs/>
        </w:rPr>
        <w:t>BRCA</w:t>
      </w:r>
      <w:r w:rsidRPr="003E1E39">
        <w:t>m</w:t>
      </w:r>
      <w:r w:rsidR="00021D9F">
        <w:t xml:space="preserve"> in the submission</w:t>
      </w:r>
      <w:r w:rsidRPr="004D70F4">
        <w:t>.</w:t>
      </w:r>
    </w:p>
    <w:p w14:paraId="71CD1D19" w14:textId="77777777" w:rsidR="00B76582" w:rsidRPr="004D70F4" w:rsidRDefault="00B76582" w:rsidP="00B76582">
      <w:r w:rsidRPr="004D70F4">
        <w:rPr>
          <w:noProof/>
        </w:rPr>
        <w:lastRenderedPageBreak/>
        <w:drawing>
          <wp:inline distT="0" distB="0" distL="0" distR="0" wp14:anchorId="2071715F" wp14:editId="319B0BC8">
            <wp:extent cx="5732145" cy="3106893"/>
            <wp:effectExtent l="0" t="0" r="0" b="5080"/>
            <wp:docPr id="15" name="Picture 15" descr="Proposed treatment algorithm for patients with de novo metastatic breast cancer with gBRCAm in th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roposed treatment algorithm for patients with de novo metastatic breast cancer with gBRCAm in the submiss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2145" cy="3106893"/>
                    </a:xfrm>
                    <a:prstGeom prst="rect">
                      <a:avLst/>
                    </a:prstGeom>
                    <a:noFill/>
                  </pic:spPr>
                </pic:pic>
              </a:graphicData>
            </a:graphic>
          </wp:inline>
        </w:drawing>
      </w:r>
    </w:p>
    <w:p w14:paraId="54C782A3" w14:textId="6B5182E1" w:rsidR="00967DFD" w:rsidRPr="004D70F4" w:rsidRDefault="00967DFD" w:rsidP="0066027B">
      <w:pPr>
        <w:pStyle w:val="Caption"/>
      </w:pPr>
      <w:bookmarkStart w:id="15" w:name="_Ref167108531"/>
      <w:r w:rsidRPr="00AF7F1B">
        <w:t xml:space="preserve">Figure </w:t>
      </w:r>
      <w:r>
        <w:fldChar w:fldCharType="begin"/>
      </w:r>
      <w:r>
        <w:instrText>SEQ Figure \* ARABIC</w:instrText>
      </w:r>
      <w:r>
        <w:fldChar w:fldCharType="separate"/>
      </w:r>
      <w:r w:rsidR="00325DE1">
        <w:rPr>
          <w:noProof/>
        </w:rPr>
        <w:t>3</w:t>
      </w:r>
      <w:r>
        <w:fldChar w:fldCharType="end"/>
      </w:r>
      <w:bookmarkEnd w:id="15"/>
      <w:r>
        <w:tab/>
      </w:r>
      <w:r w:rsidRPr="004D70F4">
        <w:t xml:space="preserve">Proposed treatment algorithm for patients with </w:t>
      </w:r>
      <w:r w:rsidRPr="0066027B">
        <w:rPr>
          <w:i/>
          <w:iCs/>
        </w:rPr>
        <w:t>de novo</w:t>
      </w:r>
      <w:r w:rsidRPr="004D70F4">
        <w:t xml:space="preserve"> metastatic breast cancer with g</w:t>
      </w:r>
      <w:r w:rsidRPr="0066027B">
        <w:rPr>
          <w:i/>
          <w:iCs/>
        </w:rPr>
        <w:t>BRCA</w:t>
      </w:r>
      <w:r w:rsidRPr="00967DFD">
        <w:t>m</w:t>
      </w:r>
      <w:r w:rsidR="00437E01">
        <w:t xml:space="preserve"> in the submission</w:t>
      </w:r>
    </w:p>
    <w:p w14:paraId="64E23F24" w14:textId="77777777" w:rsidR="00B76582" w:rsidRPr="0066027B" w:rsidRDefault="00B76582" w:rsidP="00B76582">
      <w:pPr>
        <w:pStyle w:val="FooterTableFigure"/>
        <w:rPr>
          <w:snapToGrid/>
          <w:szCs w:val="18"/>
        </w:rPr>
      </w:pPr>
      <w:r w:rsidRPr="0066027B">
        <w:rPr>
          <w:snapToGrid/>
          <w:szCs w:val="18"/>
        </w:rPr>
        <w:t xml:space="preserve">Source: Figure 1.4, p28 of the submission. </w:t>
      </w:r>
    </w:p>
    <w:p w14:paraId="5AF06793" w14:textId="6A9C0466" w:rsidR="00B76582" w:rsidRPr="0066027B" w:rsidRDefault="00B76582" w:rsidP="00581FCA">
      <w:pPr>
        <w:pStyle w:val="FooterTableFigure"/>
        <w:rPr>
          <w:snapToGrid/>
          <w:szCs w:val="18"/>
        </w:rPr>
      </w:pPr>
      <w:r w:rsidRPr="0066027B">
        <w:rPr>
          <w:snapToGrid/>
          <w:szCs w:val="18"/>
        </w:rPr>
        <w:t xml:space="preserve">1L = 1st Line; 2L = 2nd Line; 3L = 3rd Line; 4L = 4th Line; AI = Aromatase inhibitor; </w:t>
      </w:r>
      <w:r w:rsidR="00102CDB">
        <w:rPr>
          <w:snapToGrid/>
          <w:szCs w:val="18"/>
        </w:rPr>
        <w:t xml:space="preserve">BRCAm+ = </w:t>
      </w:r>
      <w:r w:rsidR="00922BE9" w:rsidRPr="005C2C25">
        <w:rPr>
          <w:szCs w:val="18"/>
        </w:rPr>
        <w:t>BReast Cancer</w:t>
      </w:r>
      <w:r w:rsidR="00922BE9">
        <w:rPr>
          <w:szCs w:val="18"/>
        </w:rPr>
        <w:t xml:space="preserve"> gene mutated</w:t>
      </w:r>
      <w:r w:rsidR="00102CDB">
        <w:rPr>
          <w:snapToGrid/>
          <w:szCs w:val="18"/>
        </w:rPr>
        <w:t xml:space="preserve">; </w:t>
      </w:r>
      <w:r w:rsidR="00437E01">
        <w:rPr>
          <w:snapToGrid/>
          <w:szCs w:val="18"/>
        </w:rPr>
        <w:t xml:space="preserve">CDK4/6i = </w:t>
      </w:r>
      <w:r w:rsidR="00922BE9" w:rsidRPr="00C4278D">
        <w:rPr>
          <w:szCs w:val="18"/>
        </w:rPr>
        <w:t>CDK4/6 inhibitors</w:t>
      </w:r>
      <w:r w:rsidR="00437E01">
        <w:rPr>
          <w:snapToGrid/>
          <w:szCs w:val="18"/>
        </w:rPr>
        <w:t xml:space="preserve">; </w:t>
      </w:r>
      <w:r w:rsidRPr="0066027B">
        <w:rPr>
          <w:snapToGrid/>
          <w:szCs w:val="18"/>
        </w:rPr>
        <w:t xml:space="preserve">CPS = combined positive score; </w:t>
      </w:r>
      <w:r w:rsidR="0050530C">
        <w:rPr>
          <w:snapToGrid/>
          <w:szCs w:val="18"/>
        </w:rPr>
        <w:t xml:space="preserve">HR+ = </w:t>
      </w:r>
      <w:r w:rsidR="00922BE9">
        <w:rPr>
          <w:szCs w:val="18"/>
        </w:rPr>
        <w:t>hormone receptor positive</w:t>
      </w:r>
      <w:r w:rsidR="0050530C">
        <w:rPr>
          <w:snapToGrid/>
          <w:szCs w:val="18"/>
        </w:rPr>
        <w:t>; HR</w:t>
      </w:r>
      <w:r w:rsidR="001E50BE">
        <w:rPr>
          <w:snapToGrid/>
          <w:szCs w:val="18"/>
        </w:rPr>
        <w:t xml:space="preserve">- = </w:t>
      </w:r>
      <w:r w:rsidR="00922BE9">
        <w:rPr>
          <w:szCs w:val="18"/>
        </w:rPr>
        <w:t>hormone receptor negative</w:t>
      </w:r>
      <w:r w:rsidR="001E50BE">
        <w:rPr>
          <w:snapToGrid/>
          <w:szCs w:val="18"/>
        </w:rPr>
        <w:t xml:space="preserve">; </w:t>
      </w:r>
      <w:r w:rsidRPr="0066027B">
        <w:rPr>
          <w:snapToGrid/>
          <w:szCs w:val="18"/>
        </w:rPr>
        <w:t>mBC = metastatic breast cancer; SG = Sacituzumab Govitecan; TNBC = triple negative breast cancer</w:t>
      </w:r>
      <w:r w:rsidR="00B52295">
        <w:rPr>
          <w:snapToGrid/>
          <w:szCs w:val="18"/>
        </w:rPr>
        <w:t>.</w:t>
      </w:r>
    </w:p>
    <w:p w14:paraId="66BDFCC1" w14:textId="15643705" w:rsidR="00772829" w:rsidRPr="00CE28E3" w:rsidRDefault="00801332" w:rsidP="002A18BE">
      <w:pPr>
        <w:pStyle w:val="Heading2"/>
        <w:numPr>
          <w:ilvl w:val="0"/>
          <w:numId w:val="0"/>
        </w:numPr>
      </w:pPr>
      <w:bookmarkStart w:id="16" w:name="_Toc69491420"/>
      <w:r>
        <w:t>8</w:t>
      </w:r>
      <w:r w:rsidR="00C36633">
        <w:t>.</w:t>
      </w:r>
      <w:r w:rsidR="00C36633">
        <w:tab/>
      </w:r>
      <w:r w:rsidR="00772829" w:rsidRPr="00CE28E3">
        <w:t>Comparator</w:t>
      </w:r>
      <w:bookmarkEnd w:id="16"/>
    </w:p>
    <w:p w14:paraId="39D3F5D9" w14:textId="75FC26DB" w:rsidR="00054427" w:rsidRPr="00DA75EC" w:rsidRDefault="00054427" w:rsidP="00054427">
      <w:pPr>
        <w:pStyle w:val="Heading3"/>
      </w:pPr>
      <w:r w:rsidRPr="00DA75EC">
        <w:t>Test</w:t>
      </w:r>
    </w:p>
    <w:p w14:paraId="48D903AA" w14:textId="3CF44432" w:rsidR="007368BD" w:rsidRDefault="00054427" w:rsidP="0066027B">
      <w:r>
        <w:t>The comparator nominated by the submission w</w:t>
      </w:r>
      <w:r w:rsidR="00C62000">
        <w:t>a</w:t>
      </w:r>
      <w:r>
        <w:t xml:space="preserve">s no test. </w:t>
      </w:r>
      <w:r w:rsidR="007F49D7" w:rsidRPr="005F49E2">
        <w:rPr>
          <w:i/>
          <w:iCs/>
        </w:rPr>
        <w:t xml:space="preserve">This was </w:t>
      </w:r>
      <w:r w:rsidR="002973AE" w:rsidRPr="005F49E2">
        <w:rPr>
          <w:i/>
          <w:iCs/>
        </w:rPr>
        <w:t>appropriate</w:t>
      </w:r>
      <w:r w:rsidR="002973AE">
        <w:t>.</w:t>
      </w:r>
    </w:p>
    <w:p w14:paraId="37868F58" w14:textId="68AD3BC9" w:rsidR="00054427" w:rsidRDefault="00054427" w:rsidP="0066027B">
      <w:r>
        <w:t>In the context of eBC, (</w:t>
      </w:r>
      <w:r w:rsidR="004610C3">
        <w:rPr>
          <w:color w:val="000000" w:themeColor="text1"/>
        </w:rPr>
        <w:t xml:space="preserve">Application </w:t>
      </w:r>
      <w:hyperlink r:id="rId14" w:history="1">
        <w:r w:rsidR="004610C3" w:rsidRPr="007C191A">
          <w:rPr>
            <w:rStyle w:val="Hyperlink"/>
          </w:rPr>
          <w:t>1716</w:t>
        </w:r>
      </w:hyperlink>
      <w:r>
        <w:t xml:space="preserve">) the MSAC </w:t>
      </w:r>
      <w:r w:rsidR="005E080D">
        <w:t xml:space="preserve">Executive </w:t>
      </w:r>
      <w:r>
        <w:t xml:space="preserve">noted </w:t>
      </w:r>
      <w:r w:rsidRPr="00054427">
        <w:t>that g</w:t>
      </w:r>
      <w:r w:rsidRPr="0066027B">
        <w:rPr>
          <w:i/>
          <w:iCs/>
        </w:rPr>
        <w:t>BRCA</w:t>
      </w:r>
      <w:r w:rsidRPr="00054427">
        <w:t xml:space="preserve"> testing under the MBS item 73296 is available for patients only when somatic testing is unavailable (based on MBS items 73295 and 73304) and “for whom clinical and family history criteria (as assessed, by the specialist or consultant physician who requests the service, using a quantitative algorithm) place the patient [with breast cancer] at greater than 10% risk of having a pathogenic or likely pathogenic gene variation”. In Australia, many Genetic/Familial Cancer Centres use the criteria outlined in the eviQ Guidelines (eviQ Guidelines for genetic testing for heritable variants in the </w:t>
      </w:r>
      <w:r w:rsidRPr="0066027B">
        <w:rPr>
          <w:i/>
          <w:iCs/>
        </w:rPr>
        <w:t>BRCA1</w:t>
      </w:r>
      <w:r w:rsidRPr="00054427">
        <w:t xml:space="preserve"> and </w:t>
      </w:r>
      <w:r w:rsidRPr="0066027B">
        <w:rPr>
          <w:i/>
          <w:iCs/>
        </w:rPr>
        <w:t>BRCA2</w:t>
      </w:r>
      <w:r w:rsidRPr="00054427">
        <w:t xml:space="preserve"> genes, 2020), to identify suitable candidates for g</w:t>
      </w:r>
      <w:r w:rsidRPr="0066027B">
        <w:rPr>
          <w:i/>
          <w:iCs/>
        </w:rPr>
        <w:t>BRCA</w:t>
      </w:r>
      <w:r w:rsidRPr="00054427">
        <w:t xml:space="preserve"> pathogenic </w:t>
      </w:r>
      <w:r w:rsidR="00D414FB">
        <w:t xml:space="preserve">or likely pathogenic </w:t>
      </w:r>
      <w:r w:rsidRPr="00054427">
        <w:t xml:space="preserve">variant testing for the purpose of familial cancer risk assessment. The eviQ guidelines currently recommend </w:t>
      </w:r>
      <w:r w:rsidRPr="0066027B">
        <w:rPr>
          <w:i/>
          <w:iCs/>
        </w:rPr>
        <w:t>BRCA</w:t>
      </w:r>
      <w:r w:rsidRPr="00054427">
        <w:t xml:space="preserve"> pathogenic </w:t>
      </w:r>
      <w:r w:rsidR="009F2DE0">
        <w:t xml:space="preserve">or likely pathogenic </w:t>
      </w:r>
      <w:r w:rsidRPr="00054427">
        <w:t xml:space="preserve">variant testing for the purpose of familial cancer risk assessment in individuals with a greater than 10% probability of carrying a pathogenic </w:t>
      </w:r>
      <w:r w:rsidR="00912A0C">
        <w:t xml:space="preserve">or likely pathogenic </w:t>
      </w:r>
      <w:r w:rsidRPr="00054427">
        <w:t xml:space="preserve">variant, based on their personal or family history of cancer. Therefore, the MSAC </w:t>
      </w:r>
      <w:r w:rsidR="00967DFD">
        <w:t>E</w:t>
      </w:r>
      <w:r w:rsidRPr="00054427">
        <w:t xml:space="preserve">xecutive advised that for the proposed population of patients with “triple negative early breast cancer or hormone receptor positive, HER2-negative, early breast cancer with high risk characteristics”, no </w:t>
      </w:r>
      <w:r w:rsidRPr="0066027B">
        <w:rPr>
          <w:i/>
          <w:iCs/>
        </w:rPr>
        <w:t>BRCA1/2</w:t>
      </w:r>
      <w:r w:rsidRPr="00054427">
        <w:t xml:space="preserve"> testing would be a comparator. </w:t>
      </w:r>
      <w:r w:rsidR="00453448" w:rsidRPr="00453448">
        <w:t xml:space="preserve">MSAC noted that germline and somatic </w:t>
      </w:r>
      <w:r w:rsidR="00453448" w:rsidRPr="00D978C8">
        <w:rPr>
          <w:i/>
          <w:iCs/>
        </w:rPr>
        <w:t xml:space="preserve">BRCA1 </w:t>
      </w:r>
      <w:r w:rsidR="00453448" w:rsidRPr="00453448">
        <w:t xml:space="preserve">and </w:t>
      </w:r>
      <w:r w:rsidR="00453448" w:rsidRPr="00D978C8">
        <w:rPr>
          <w:i/>
          <w:iCs/>
        </w:rPr>
        <w:t>BRCA2</w:t>
      </w:r>
      <w:r w:rsidR="00453448" w:rsidRPr="00453448">
        <w:t xml:space="preserve"> testing is used in routine clinical practice for patients with a number of cancers, including breast, ovarian and prostate and sequencing is already funded under the MBS items 73295, 73296, 73304 and single variant testing under MBS items 73297 (cascade) and 73302 (somatic positive)</w:t>
      </w:r>
      <w:r w:rsidR="00453448">
        <w:t xml:space="preserve"> (</w:t>
      </w:r>
      <w:hyperlink r:id="rId15" w:history="1">
        <w:r w:rsidR="00453448">
          <w:rPr>
            <w:rStyle w:val="Hyperlink"/>
          </w:rPr>
          <w:t>1716 PSD November 2023 MSAC meeting</w:t>
        </w:r>
      </w:hyperlink>
      <w:r w:rsidR="00453448">
        <w:t>).</w:t>
      </w:r>
    </w:p>
    <w:p w14:paraId="5DB40447" w14:textId="316835DD" w:rsidR="00054427" w:rsidRPr="00DA75EC" w:rsidRDefault="00054427" w:rsidP="00054427">
      <w:pPr>
        <w:pStyle w:val="Heading3"/>
      </w:pPr>
      <w:r>
        <w:lastRenderedPageBreak/>
        <w:t>Codependent drug</w:t>
      </w:r>
    </w:p>
    <w:p w14:paraId="366A3424" w14:textId="5B2A5ACE" w:rsidR="00403510" w:rsidRDefault="00403510" w:rsidP="0066027B">
      <w:r w:rsidRPr="00403510">
        <w:t>The comparator nominated</w:t>
      </w:r>
      <w:r w:rsidR="00054427">
        <w:t xml:space="preserve"> for olaparib</w:t>
      </w:r>
      <w:r w:rsidRPr="00403510">
        <w:t xml:space="preserve"> in the submission and the ratified PICO both considered standard of care as the comparator, but the ratified PICO specified that ‘capecitabine, vinorelbine and eribulin are commonly used agents’.</w:t>
      </w:r>
    </w:p>
    <w:p w14:paraId="6C60D95C" w14:textId="02EA7B3D" w:rsidR="00581FCA" w:rsidRDefault="00581FCA" w:rsidP="0066027B">
      <w:r>
        <w:t>The commentary considered that s</w:t>
      </w:r>
      <w:r w:rsidRPr="00581FCA">
        <w:t>tandard of care was a reasonable comparator, but chemotherapy may not be the most representative treatment for standard of care in the proposed populations. Newer treatment options have become standard of care for certain subgroups of mBC patients, as discussed below</w:t>
      </w:r>
      <w:r>
        <w:t>.</w:t>
      </w:r>
    </w:p>
    <w:p w14:paraId="67731505" w14:textId="77777777" w:rsidR="00581FCA" w:rsidRPr="00581FCA" w:rsidRDefault="00581FCA" w:rsidP="0066027B">
      <w:r w:rsidRPr="00581FCA">
        <w:t>The submission proposed the place in therapy for olaparib as follows:</w:t>
      </w:r>
    </w:p>
    <w:p w14:paraId="44FA4AFD" w14:textId="77777777" w:rsidR="00581FCA" w:rsidRPr="00581FCA" w:rsidRDefault="00581FCA" w:rsidP="00FF07E6">
      <w:pPr>
        <w:pStyle w:val="ListParagraph"/>
        <w:numPr>
          <w:ilvl w:val="0"/>
          <w:numId w:val="16"/>
        </w:numPr>
        <w:ind w:left="284" w:hanging="284"/>
      </w:pPr>
      <w:r w:rsidRPr="00581FCA">
        <w:t>In patients who may have received chemotherapy (anthracycline/taxane) in an early disease setting (neoadjuvant or adjuvant) prior to progressing to metastatic disease setting, olaparib will be used as first line (1L) prior to treatment with chemotherapy; and</w:t>
      </w:r>
    </w:p>
    <w:p w14:paraId="511BB482" w14:textId="77777777" w:rsidR="00581FCA" w:rsidRPr="00581FCA" w:rsidRDefault="00581FCA" w:rsidP="00FF07E6">
      <w:pPr>
        <w:pStyle w:val="ListParagraph"/>
        <w:numPr>
          <w:ilvl w:val="0"/>
          <w:numId w:val="16"/>
        </w:numPr>
        <w:ind w:left="284" w:hanging="284"/>
      </w:pPr>
      <w:r w:rsidRPr="00581FCA">
        <w:t xml:space="preserve">In </w:t>
      </w:r>
      <w:r w:rsidRPr="0066027B">
        <w:rPr>
          <w:i/>
          <w:iCs/>
        </w:rPr>
        <w:t>de novo</w:t>
      </w:r>
      <w:r w:rsidRPr="00581FCA">
        <w:t xml:space="preserve"> mBC patients who have metastatic disease at time of first diagnosis, these patients are required to receive chemotherapy (anthracycline/taxane) as 1L treatment for mBC and subsequently should receive (second line) 2L olaparib treatment.</w:t>
      </w:r>
    </w:p>
    <w:p w14:paraId="2EE8CEF2" w14:textId="788683EF" w:rsidR="00581FCA" w:rsidRPr="00581FCA" w:rsidRDefault="00581FCA" w:rsidP="0066027B">
      <w:bookmarkStart w:id="17" w:name="_Ref164713494"/>
      <w:r w:rsidRPr="00581FCA">
        <w:t>The submission claimed that currently in the HR+ population, treatment with CDK 4/6 inhibitors (e.g. abemaciclib, palbociclib, ribociclib) in combination with endocrine therapy is the standard of care. Upon progression, treatment moves to chemotherapy, or, less commonly in Australia, on to everolimus with exemestane, or fulvestrant in the second line, and olaparib would be an option in this line of therapy. The commentary considered that this was not consistent with the European Society of Medical Oncologists (ESMO) guidelines (Curgliano 2023, p1481) which recommend at least two lines of endocrine therapy before initiating chemotherapy, and do not recommend chemotherapy directly after first line CDK 4/6 inhibitors for patients not at risk of imminent organ failure. The American Society of Clinical Oncologists (ASCO) guideline recommendations (Al Sukhun 2024) are generally consistent with those from ESMO. As such, chemotherapy may not be the standard of care after progression with first line CDK 4/6 inhibitors unless the patient was at risk of imminent organ failure. Instead, a second line of endocrine therapy was the standard of care and would be the comparator for olaparib in these patients.</w:t>
      </w:r>
      <w:bookmarkEnd w:id="17"/>
    </w:p>
    <w:p w14:paraId="3457ED16" w14:textId="77777777" w:rsidR="00581FCA" w:rsidRPr="00581FCA" w:rsidRDefault="00581FCA" w:rsidP="0066027B">
      <w:r w:rsidRPr="00581FCA">
        <w:t>After endocrine therapy has failed, single agent chemotherapies are then used sequentially, and olaparib would also be an option in this line of therapy.</w:t>
      </w:r>
    </w:p>
    <w:p w14:paraId="2C2F304C" w14:textId="77777777" w:rsidR="00581FCA" w:rsidRPr="00581FCA" w:rsidRDefault="00581FCA" w:rsidP="0066027B">
      <w:r w:rsidRPr="00581FCA">
        <w:t xml:space="preserve">The submission also noted that a small contingent of HR+ patients may receive first line chemotherapy, if they are in visceral crisis, however, the submission did not include this in the algorithm as the requested population in the submission was limited to patients who have not previously received treatment with chemotherapy in the metastatic setting. </w:t>
      </w:r>
    </w:p>
    <w:p w14:paraId="3E51F816" w14:textId="0228476A" w:rsidR="00D649A6" w:rsidRDefault="00581FCA" w:rsidP="0066027B">
      <w:pPr>
        <w:rPr>
          <w:i/>
          <w:iCs/>
        </w:rPr>
      </w:pPr>
      <w:r w:rsidRPr="00581FCA">
        <w:t xml:space="preserve">For patients with TNBC, pembrolizumab plus chemotherapy is used in patients with a </w:t>
      </w:r>
      <w:r w:rsidR="00391E4B" w:rsidRPr="00391E4B">
        <w:t>combined positive score</w:t>
      </w:r>
      <w:r w:rsidR="00391E4B">
        <w:t xml:space="preserve"> (</w:t>
      </w:r>
      <w:r w:rsidRPr="00581FCA">
        <w:t>CPS</w:t>
      </w:r>
      <w:r w:rsidR="00391E4B">
        <w:t xml:space="preserve">; </w:t>
      </w:r>
      <w:r w:rsidRPr="00581FCA">
        <w:t>a marker of PD-L1 status) of 10 or above, otherwise single agent chemotherapy is given in the first line. The submission proposed that olaparib may be an option in this line of therapy. As such,</w:t>
      </w:r>
      <w:r w:rsidR="00D649A6" w:rsidRPr="00D649A6">
        <w:t xml:space="preserve"> the commentary considered that </w:t>
      </w:r>
      <w:r w:rsidRPr="00581FCA">
        <w:t xml:space="preserve">pembrolizumab plus chemotherapy would be the most relevant comparator in patients with TNBC, CPS ≥10 and </w:t>
      </w:r>
      <w:r w:rsidRPr="0066027B">
        <w:rPr>
          <w:i/>
          <w:iCs/>
        </w:rPr>
        <w:t>BRCA</w:t>
      </w:r>
      <w:r w:rsidRPr="00581FCA">
        <w:t>m.</w:t>
      </w:r>
    </w:p>
    <w:p w14:paraId="295C9C24" w14:textId="3FC02C8D" w:rsidR="00581FCA" w:rsidRPr="00581FCA" w:rsidRDefault="00581FCA" w:rsidP="0066027B">
      <w:r w:rsidRPr="00581FCA">
        <w:lastRenderedPageBreak/>
        <w:t xml:space="preserve">The submission stated that there does not seem to be any correlation between </w:t>
      </w:r>
      <w:r w:rsidRPr="0066027B">
        <w:rPr>
          <w:i/>
          <w:iCs/>
        </w:rPr>
        <w:t>BRCA</w:t>
      </w:r>
      <w:r w:rsidRPr="00581FCA">
        <w:t xml:space="preserve"> status and PD-L1 status (Sobral Leite 2018</w:t>
      </w:r>
      <w:r w:rsidR="00F87911">
        <w:rPr>
          <w:rStyle w:val="FootnoteReference"/>
          <w:color w:val="000000" w:themeColor="text1"/>
        </w:rPr>
        <w:footnoteReference w:id="8"/>
      </w:r>
      <w:r w:rsidRPr="00581FCA">
        <w:t>, Turulijic 2017</w:t>
      </w:r>
      <w:r w:rsidR="00F87911">
        <w:rPr>
          <w:rStyle w:val="FootnoteReference"/>
          <w:color w:val="000000" w:themeColor="text1"/>
        </w:rPr>
        <w:footnoteReference w:id="9"/>
      </w:r>
      <w:r w:rsidRPr="00581FCA">
        <w:t xml:space="preserve">), and considered it likely that there will be patients with both biomarkers. The submission stated that international guidelines recommend pembrolizumab plus chemotherapy for PD-L1 positive patients and olaparib for </w:t>
      </w:r>
      <w:r w:rsidRPr="0066027B">
        <w:rPr>
          <w:i/>
          <w:iCs/>
        </w:rPr>
        <w:t>BRCA</w:t>
      </w:r>
      <w:r w:rsidRPr="00581FCA">
        <w:t>m patients; however current guidelines do not make a recommendation of one over the other when both alterations occur. Specifically, the ASCO guidelines do not explicitly make a recommendation in this case.</w:t>
      </w:r>
      <w:r w:rsidRPr="00581FCA">
        <w:rPr>
          <w:i/>
          <w:iCs/>
        </w:rPr>
        <w:t xml:space="preserve"> </w:t>
      </w:r>
      <w:r w:rsidRPr="00581FCA">
        <w:t>The commentary noted, however, that the ESMO guidelines only recommend PARP inhibitors in g</w:t>
      </w:r>
      <w:r w:rsidRPr="0066027B">
        <w:rPr>
          <w:i/>
          <w:iCs/>
        </w:rPr>
        <w:t>BR</w:t>
      </w:r>
      <w:r w:rsidR="007F54D1">
        <w:rPr>
          <w:i/>
          <w:iCs/>
        </w:rPr>
        <w:t>C</w:t>
      </w:r>
      <w:r w:rsidRPr="0066027B">
        <w:rPr>
          <w:i/>
          <w:iCs/>
        </w:rPr>
        <w:t>A</w:t>
      </w:r>
      <w:r w:rsidRPr="00581FCA">
        <w:t>m PD-L1 negative patients, which may suggest that pembrolizumab would be preferred in all CPS &gt;10 patients.</w:t>
      </w:r>
      <w:r w:rsidRPr="00581FCA">
        <w:rPr>
          <w:i/>
          <w:iCs/>
        </w:rPr>
        <w:t xml:space="preserve"> </w:t>
      </w:r>
    </w:p>
    <w:p w14:paraId="60DEE452" w14:textId="01CF2583" w:rsidR="00581FCA" w:rsidRPr="00581FCA" w:rsidRDefault="00581FCA" w:rsidP="0066027B">
      <w:bookmarkStart w:id="18" w:name="_Ref164720740"/>
      <w:r w:rsidRPr="00581FCA">
        <w:t>In TNBC, the submission considered that the first line of therapy currently reimbursed is chemotherapy for the majority of patients where the current chemotherapy regimens are usually a taxane (e.g., paclitaxel or nab-paclitaxel or docetaxel) or carboplatin or doxorubicin as monotherapy or combinations of carboplatin + gemcitabine, doxorubicin + cyclophosphamide, or epirubicin + cyclophosphamide. The commentary observed that these chemotherapies differed to those used in the pivotal OlympiAD trial (capecitabine, vinorelbine and eribulin) and may represent an applicability issue.</w:t>
      </w:r>
      <w:bookmarkEnd w:id="18"/>
      <w:r w:rsidRPr="00581FCA">
        <w:t xml:space="preserve"> </w:t>
      </w:r>
    </w:p>
    <w:p w14:paraId="61EA166C" w14:textId="4BA09646" w:rsidR="00581FCA" w:rsidRPr="00581FCA" w:rsidRDefault="00581FCA" w:rsidP="0066027B">
      <w:r w:rsidRPr="00581FCA">
        <w:t xml:space="preserve">In patients with </w:t>
      </w:r>
      <w:r w:rsidRPr="0066027B">
        <w:rPr>
          <w:i/>
          <w:iCs/>
        </w:rPr>
        <w:t>de novo</w:t>
      </w:r>
      <w:r w:rsidRPr="00581FCA">
        <w:t xml:space="preserve"> mBC, at least one line of chemotherapy must be used before patients can be eligible for olaparib based on the requested restriction and TGA approved indication. In this case, olaparib will become a 2L therapy. Notably, in patients with </w:t>
      </w:r>
      <w:r w:rsidRPr="0066027B">
        <w:rPr>
          <w:i/>
          <w:iCs/>
        </w:rPr>
        <w:t>de novo</w:t>
      </w:r>
      <w:r w:rsidRPr="00581FCA">
        <w:t xml:space="preserve"> TNBC who have failed 1L chemotherapy (with or without pembrolizumab, depending on CPS), sacituzumab govitecan may be used. Eligibility for sacituzumab govitecan requires at least one line of prior systemic therapy in the metastatic setting and can therefore be used in the second or third line setting</w:t>
      </w:r>
      <w:r>
        <w:t xml:space="preserve">. The commentary therefore concluded they both </w:t>
      </w:r>
      <w:r w:rsidRPr="00581FCA">
        <w:t>would be a valid comparator for olaparib in both lines of treatment.</w:t>
      </w:r>
    </w:p>
    <w:p w14:paraId="6C6B1801" w14:textId="2E6A0B87" w:rsidR="00581FCA" w:rsidRPr="00581FCA" w:rsidRDefault="00581FCA" w:rsidP="0066027B">
      <w:r w:rsidRPr="00581FCA">
        <w:t xml:space="preserve">Following treatment with sacituzumab govitecan, chemotherapy remains the mainstay of treatment for triple negative patients. </w:t>
      </w:r>
      <w:r>
        <w:t>T</w:t>
      </w:r>
      <w:r w:rsidRPr="00581FCA">
        <w:t>he commentary supposed that it is plausible that olaparib may be used in this line of therapy (i.e. after pembrolizumab plus chemotherapy and sacituzumab govitecan, as third line therapy) in which case, chemotherapy may be the relevant comparator.</w:t>
      </w:r>
    </w:p>
    <w:p w14:paraId="61D69AF0" w14:textId="1426D1C1" w:rsidR="00581FCA" w:rsidRPr="00655220" w:rsidRDefault="00581FCA" w:rsidP="0066027B">
      <w:pPr>
        <w:rPr>
          <w:i/>
        </w:rPr>
      </w:pPr>
      <w:bookmarkStart w:id="19" w:name="_Ref164724568"/>
      <w:r w:rsidRPr="00581FCA">
        <w:t xml:space="preserve">Overall, given the evolution of treatment options in recent years, the commentary considered that the proposal to use chemotherapy as the proxy for standard of care for all patients eligible for olaparib under the proposed PBS listing was likely unreasonable. For a proportion of patients, a second line endocrine therapy (after CDK 4/6 inhibitors and endocrine therapy), pembrolizumab plus chemotherapy (TNBC with CPS ≥10) or sacituzumab govitecan (as second or third line therapy in </w:t>
      </w:r>
      <w:r w:rsidRPr="0066027B">
        <w:rPr>
          <w:i/>
          <w:iCs/>
        </w:rPr>
        <w:t>de novo</w:t>
      </w:r>
      <w:r w:rsidRPr="00581FCA">
        <w:t xml:space="preserve"> patients with TNBC) were also comparators which should have been considered based on the proposed population.</w:t>
      </w:r>
      <w:bookmarkEnd w:id="19"/>
      <w:r w:rsidRPr="00581FCA">
        <w:t xml:space="preserve"> </w:t>
      </w:r>
      <w:r w:rsidR="00731C1A">
        <w:rPr>
          <w:i/>
          <w:iCs/>
        </w:rPr>
        <w:t xml:space="preserve">The PBAC ESC </w:t>
      </w:r>
      <w:r w:rsidR="00EF169D">
        <w:rPr>
          <w:i/>
          <w:iCs/>
        </w:rPr>
        <w:t xml:space="preserve">noted multiple issues with </w:t>
      </w:r>
      <w:r w:rsidR="00E12D2A">
        <w:rPr>
          <w:i/>
          <w:iCs/>
        </w:rPr>
        <w:t>the nominated comparator</w:t>
      </w:r>
      <w:r w:rsidR="0033688F">
        <w:rPr>
          <w:i/>
          <w:iCs/>
        </w:rPr>
        <w:t xml:space="preserve"> </w:t>
      </w:r>
      <w:r w:rsidR="00EE4337">
        <w:rPr>
          <w:i/>
          <w:iCs/>
        </w:rPr>
        <w:t>of chemotherapy</w:t>
      </w:r>
      <w:r w:rsidR="00062D0F">
        <w:rPr>
          <w:i/>
          <w:iCs/>
        </w:rPr>
        <w:t>.</w:t>
      </w:r>
      <w:r w:rsidR="0030786B">
        <w:rPr>
          <w:i/>
          <w:iCs/>
        </w:rPr>
        <w:t xml:space="preserve"> </w:t>
      </w:r>
    </w:p>
    <w:p w14:paraId="47BC3A84" w14:textId="5C4033A9" w:rsidR="00772829" w:rsidRPr="00CE28E3" w:rsidRDefault="00801332" w:rsidP="002A18BE">
      <w:pPr>
        <w:pStyle w:val="Heading2"/>
        <w:numPr>
          <w:ilvl w:val="0"/>
          <w:numId w:val="0"/>
        </w:numPr>
      </w:pPr>
      <w:bookmarkStart w:id="20" w:name="_Toc69491421"/>
      <w:r>
        <w:t>9</w:t>
      </w:r>
      <w:r w:rsidR="00C36633">
        <w:t>.</w:t>
      </w:r>
      <w:r w:rsidR="00C36633">
        <w:tab/>
      </w:r>
      <w:r w:rsidR="00772829" w:rsidRPr="00CE28E3">
        <w:t xml:space="preserve">Summary of public consultation </w:t>
      </w:r>
      <w:r w:rsidR="0052575D">
        <w:t>input</w:t>
      </w:r>
      <w:bookmarkEnd w:id="20"/>
    </w:p>
    <w:p w14:paraId="7F2A3A6B" w14:textId="77777777" w:rsidR="00E37B04" w:rsidRPr="00FA6ED8" w:rsidRDefault="00E37B04" w:rsidP="00E37B04">
      <w:r w:rsidRPr="00D9123D">
        <w:t>Consultation input</w:t>
      </w:r>
      <w:r>
        <w:t xml:space="preserve"> to the application</w:t>
      </w:r>
      <w:r w:rsidRPr="00D9123D">
        <w:t xml:space="preserve"> was received from</w:t>
      </w:r>
      <w:r>
        <w:t xml:space="preserve"> one</w:t>
      </w:r>
      <w:r w:rsidRPr="00D9123D">
        <w:t xml:space="preserve"> </w:t>
      </w:r>
      <w:r>
        <w:t>(1)</w:t>
      </w:r>
      <w:r w:rsidRPr="00D9123D">
        <w:t xml:space="preserve"> professional organisation, </w:t>
      </w:r>
      <w:r w:rsidRPr="00FA6ED8">
        <w:t xml:space="preserve">the </w:t>
      </w:r>
      <w:r w:rsidRPr="00FD4169">
        <w:rPr>
          <w:rFonts w:eastAsia="Times New Roman" w:cs="Calibri"/>
          <w:color w:val="000000"/>
          <w:lang w:eastAsia="en-AU"/>
        </w:rPr>
        <w:t xml:space="preserve">Medical Oncology Group of Australia (MOGA), who was </w:t>
      </w:r>
      <w:r w:rsidRPr="00FA6ED8">
        <w:t xml:space="preserve">supportive of Application 1507.1. </w:t>
      </w:r>
    </w:p>
    <w:p w14:paraId="12101A71" w14:textId="77777777" w:rsidR="00E37B04" w:rsidRPr="00FD4169" w:rsidRDefault="00E37B04" w:rsidP="00E37B04">
      <w:pPr>
        <w:pStyle w:val="Default"/>
        <w:spacing w:after="240"/>
        <w:rPr>
          <w:rFonts w:cstheme="minorBidi"/>
          <w:color w:val="auto"/>
          <w:sz w:val="22"/>
          <w:szCs w:val="22"/>
        </w:rPr>
      </w:pPr>
      <w:r w:rsidRPr="00FD4169">
        <w:rPr>
          <w:rFonts w:cstheme="minorBidi"/>
          <w:color w:val="auto"/>
          <w:sz w:val="22"/>
          <w:szCs w:val="22"/>
        </w:rPr>
        <w:lastRenderedPageBreak/>
        <w:t xml:space="preserve">Medex Consulting provided feedback on the proposed amendment to MBS Item 73295 to allow germline </w:t>
      </w:r>
      <w:r w:rsidRPr="00FD4169">
        <w:rPr>
          <w:rFonts w:cstheme="minorBidi"/>
          <w:i/>
          <w:color w:val="auto"/>
          <w:sz w:val="22"/>
          <w:szCs w:val="22"/>
        </w:rPr>
        <w:t>BRCA1/2</w:t>
      </w:r>
      <w:r w:rsidRPr="00FD4169">
        <w:rPr>
          <w:rFonts w:cstheme="minorBidi"/>
          <w:color w:val="auto"/>
          <w:sz w:val="22"/>
          <w:szCs w:val="22"/>
        </w:rPr>
        <w:t xml:space="preserve"> testing to determine eligibility for a poly (adenosine diphosphate [ADP]-ribose) polymerase (PARP) inhibitor in metastatic breast cancer.</w:t>
      </w:r>
    </w:p>
    <w:p w14:paraId="5151A187" w14:textId="77777777" w:rsidR="00E37B04" w:rsidRDefault="00E37B04" w:rsidP="00E37B04">
      <w:pPr>
        <w:spacing w:after="240"/>
        <w:rPr>
          <w:b/>
          <w:bCs/>
        </w:rPr>
      </w:pPr>
      <w:r>
        <w:rPr>
          <w:b/>
          <w:bCs/>
        </w:rPr>
        <w:t>Benefits</w:t>
      </w:r>
    </w:p>
    <w:p w14:paraId="43AE9015" w14:textId="77777777" w:rsidR="00E37B04" w:rsidRPr="000811F6" w:rsidRDefault="00E37B04" w:rsidP="00E37B04">
      <w:pPr>
        <w:pStyle w:val="ListParagraph"/>
        <w:numPr>
          <w:ilvl w:val="0"/>
          <w:numId w:val="32"/>
        </w:numPr>
        <w:spacing w:before="0"/>
      </w:pPr>
      <w:r w:rsidRPr="000811F6">
        <w:t xml:space="preserve">Knowing the germline </w:t>
      </w:r>
      <w:r w:rsidRPr="00E403C1">
        <w:rPr>
          <w:i/>
        </w:rPr>
        <w:t xml:space="preserve">BRCA1/2 </w:t>
      </w:r>
      <w:r w:rsidRPr="000811F6">
        <w:t>P/LP</w:t>
      </w:r>
      <w:r>
        <w:t xml:space="preserve"> v</w:t>
      </w:r>
      <w:r w:rsidRPr="000811F6">
        <w:t>ar</w:t>
      </w:r>
      <w:r>
        <w:t>iant</w:t>
      </w:r>
      <w:r w:rsidRPr="000811F6">
        <w:t xml:space="preserve"> status of a patient diagnosed with breast cancer is essential to determining whether they might benefit from olaparib.</w:t>
      </w:r>
    </w:p>
    <w:p w14:paraId="1ADA5FE1" w14:textId="77777777" w:rsidR="00E37B04" w:rsidRDefault="00E37B04" w:rsidP="00E37B04">
      <w:pPr>
        <w:pStyle w:val="ListParagraph"/>
        <w:numPr>
          <w:ilvl w:val="0"/>
          <w:numId w:val="32"/>
        </w:numPr>
        <w:spacing w:before="0"/>
      </w:pPr>
      <w:r w:rsidRPr="000811F6">
        <w:t xml:space="preserve">Olaparib has been shown to be more efficacious and to result in better quality of life than standard of care chemotherapy in patients with metastatic breast cancer in the setting of a </w:t>
      </w:r>
      <w:r w:rsidRPr="00E403C1">
        <w:rPr>
          <w:i/>
        </w:rPr>
        <w:t>BRCA1</w:t>
      </w:r>
      <w:r w:rsidRPr="000811F6">
        <w:t xml:space="preserve"> or </w:t>
      </w:r>
      <w:r w:rsidRPr="00E403C1">
        <w:rPr>
          <w:i/>
        </w:rPr>
        <w:t>BRCA2</w:t>
      </w:r>
      <w:r w:rsidRPr="000811F6">
        <w:t xml:space="preserve"> pathogenic or likely pathogenic germline variant (OlympiaD trial).</w:t>
      </w:r>
    </w:p>
    <w:p w14:paraId="469D03F1" w14:textId="77777777" w:rsidR="00E37B04" w:rsidRPr="000811F6" w:rsidRDefault="00E37B04" w:rsidP="00E37B04">
      <w:pPr>
        <w:pStyle w:val="ListParagraph"/>
        <w:numPr>
          <w:ilvl w:val="0"/>
          <w:numId w:val="32"/>
        </w:numPr>
        <w:spacing w:before="0"/>
      </w:pPr>
      <w:r w:rsidRPr="000811F6">
        <w:t>Testing will result in more breast and ovarian cancers prevented</w:t>
      </w:r>
      <w:r>
        <w:t xml:space="preserve"> (through surgical interventions/preventative medications)</w:t>
      </w:r>
      <w:r w:rsidRPr="000811F6">
        <w:t xml:space="preserve"> </w:t>
      </w:r>
      <w:r>
        <w:t xml:space="preserve">or </w:t>
      </w:r>
      <w:r w:rsidRPr="000811F6">
        <w:t>detected early in family members of patients.</w:t>
      </w:r>
    </w:p>
    <w:p w14:paraId="10AD2027" w14:textId="77777777" w:rsidR="00E37B04" w:rsidRDefault="00E37B04" w:rsidP="00E37B04">
      <w:pPr>
        <w:rPr>
          <w:b/>
          <w:bCs/>
        </w:rPr>
      </w:pPr>
      <w:r w:rsidRPr="00D9123D">
        <w:rPr>
          <w:b/>
          <w:bCs/>
        </w:rPr>
        <w:t xml:space="preserve">Disadvantages </w:t>
      </w:r>
    </w:p>
    <w:p w14:paraId="5CB72559" w14:textId="77777777" w:rsidR="00E37B04" w:rsidRPr="000811F6" w:rsidRDefault="00E37B04" w:rsidP="00E37B04">
      <w:pPr>
        <w:pStyle w:val="ListParagraph"/>
        <w:numPr>
          <w:ilvl w:val="0"/>
          <w:numId w:val="32"/>
        </w:numPr>
        <w:spacing w:before="0"/>
      </w:pPr>
      <w:r>
        <w:t>P</w:t>
      </w:r>
      <w:r w:rsidRPr="000811F6">
        <w:t>sychological harm</w:t>
      </w:r>
      <w:r>
        <w:t xml:space="preserve"> from germline genetic testing</w:t>
      </w:r>
    </w:p>
    <w:p w14:paraId="7920B579" w14:textId="77777777" w:rsidR="00E37B04" w:rsidRPr="000811F6" w:rsidRDefault="00E37B04" w:rsidP="00E37B04">
      <w:pPr>
        <w:pStyle w:val="ListParagraph"/>
        <w:numPr>
          <w:ilvl w:val="0"/>
          <w:numId w:val="32"/>
        </w:numPr>
        <w:spacing w:before="0"/>
      </w:pPr>
      <w:r w:rsidRPr="000811F6">
        <w:t>Increased difficulty obtaining some types of insurance</w:t>
      </w:r>
    </w:p>
    <w:p w14:paraId="76DEE39B" w14:textId="77777777" w:rsidR="00E37B04" w:rsidRPr="000811F6" w:rsidRDefault="00E37B04" w:rsidP="00E37B04">
      <w:pPr>
        <w:pStyle w:val="ListParagraph"/>
        <w:numPr>
          <w:ilvl w:val="0"/>
          <w:numId w:val="32"/>
        </w:numPr>
        <w:spacing w:before="0"/>
      </w:pPr>
      <w:r w:rsidRPr="000811F6">
        <w:t>Negative impact on family members and relationships</w:t>
      </w:r>
    </w:p>
    <w:p w14:paraId="5FCEACDD" w14:textId="77777777" w:rsidR="00E37B04" w:rsidRPr="00E76884" w:rsidRDefault="00E37B04" w:rsidP="00E37B04">
      <w:pPr>
        <w:rPr>
          <w:color w:val="5B9BD5" w:themeColor="accent1"/>
        </w:rPr>
      </w:pPr>
      <w:r w:rsidRPr="00C50417">
        <w:rPr>
          <w:b/>
          <w:bCs/>
        </w:rPr>
        <w:t xml:space="preserve">Additional comments </w:t>
      </w:r>
    </w:p>
    <w:p w14:paraId="16CA885C" w14:textId="77777777" w:rsidR="00E37B04" w:rsidRDefault="00E37B04" w:rsidP="00E37B04">
      <w:r>
        <w:t>MOGA believes the</w:t>
      </w:r>
      <w:r w:rsidRPr="000811F6">
        <w:t xml:space="preserve"> benefits of funded germline genetic testing for </w:t>
      </w:r>
      <w:r w:rsidRPr="00E403C1">
        <w:rPr>
          <w:i/>
        </w:rPr>
        <w:t>BRCA1</w:t>
      </w:r>
      <w:r w:rsidRPr="000811F6">
        <w:t xml:space="preserve"> and </w:t>
      </w:r>
      <w:r w:rsidRPr="00E403C1">
        <w:rPr>
          <w:i/>
        </w:rPr>
        <w:t>BRCA2</w:t>
      </w:r>
      <w:r w:rsidRPr="000811F6">
        <w:t xml:space="preserve"> in the setting of access to funded </w:t>
      </w:r>
      <w:r w:rsidRPr="000811F6" w:rsidDel="00B662D3">
        <w:t xml:space="preserve">adjuvant </w:t>
      </w:r>
      <w:r w:rsidRPr="000811F6">
        <w:t>olaparib substantially outweigh the disadvantages</w:t>
      </w:r>
      <w:r>
        <w:t>, and</w:t>
      </w:r>
      <w:r w:rsidRPr="000811F6">
        <w:t xml:space="preserve"> commented that patients </w:t>
      </w:r>
      <w:r>
        <w:t xml:space="preserve">will </w:t>
      </w:r>
      <w:r w:rsidRPr="000811F6">
        <w:t>receive pre-test counselling from their oncologist or genetics service which will enable them to make informed decisions about whether testing is right for them personally.</w:t>
      </w:r>
    </w:p>
    <w:p w14:paraId="72DDDE60" w14:textId="77777777" w:rsidR="00E37B04" w:rsidRDefault="00E37B04" w:rsidP="00E37B04">
      <w:r>
        <w:t xml:space="preserve">In relation to the proposed population, </w:t>
      </w:r>
      <w:r w:rsidRPr="00DE368F">
        <w:t xml:space="preserve">MOGA </w:t>
      </w:r>
      <w:r>
        <w:t>noted inconsistencies between the application’s title on MSAC website (includes locally advanced breast cancer) and the application (which includes metastatic breast cancer only). MOGA considered that the population for the proposed</w:t>
      </w:r>
      <w:r w:rsidRPr="00DE368F">
        <w:t xml:space="preserve"> medical service should include patients with metastatic disease and those with locally advanced disease</w:t>
      </w:r>
      <w:r>
        <w:t xml:space="preserve">. </w:t>
      </w:r>
    </w:p>
    <w:p w14:paraId="44A9087A" w14:textId="77777777" w:rsidR="00E37B04" w:rsidRDefault="00E37B04" w:rsidP="00E37B04">
      <w:pPr>
        <w:pStyle w:val="Default"/>
        <w:rPr>
          <w:rFonts w:asciiTheme="minorHAnsi" w:hAnsiTheme="minorHAnsi" w:cstheme="minorBidi"/>
          <w:color w:val="auto"/>
          <w:sz w:val="22"/>
          <w:szCs w:val="22"/>
        </w:rPr>
      </w:pPr>
      <w:r w:rsidRPr="00F6344D">
        <w:rPr>
          <w:rFonts w:asciiTheme="minorHAnsi" w:hAnsiTheme="minorHAnsi" w:cstheme="minorBidi"/>
          <w:color w:val="auto"/>
          <w:sz w:val="22"/>
          <w:szCs w:val="22"/>
        </w:rPr>
        <w:t xml:space="preserve">Medex Consulting responded to proposed amendments to the current MBS item 73295 to expand the population eligible for germline </w:t>
      </w:r>
      <w:r w:rsidRPr="00E403C1">
        <w:rPr>
          <w:rFonts w:asciiTheme="minorHAnsi" w:hAnsiTheme="minorHAnsi" w:cstheme="minorBidi"/>
          <w:i/>
          <w:color w:val="auto"/>
          <w:sz w:val="22"/>
          <w:szCs w:val="22"/>
        </w:rPr>
        <w:t>BRCA1</w:t>
      </w:r>
      <w:r>
        <w:rPr>
          <w:rFonts w:asciiTheme="minorHAnsi" w:hAnsiTheme="minorHAnsi" w:cstheme="minorBidi"/>
          <w:i/>
          <w:iCs/>
          <w:color w:val="auto"/>
          <w:sz w:val="22"/>
          <w:szCs w:val="22"/>
        </w:rPr>
        <w:t>/</w:t>
      </w:r>
      <w:r w:rsidRPr="00E403C1">
        <w:rPr>
          <w:rFonts w:asciiTheme="minorHAnsi" w:hAnsiTheme="minorHAnsi" w:cstheme="minorBidi"/>
          <w:i/>
          <w:iCs/>
          <w:color w:val="auto"/>
          <w:sz w:val="22"/>
          <w:szCs w:val="22"/>
        </w:rPr>
        <w:t>2</w:t>
      </w:r>
      <w:r w:rsidRPr="00F6344D">
        <w:rPr>
          <w:rFonts w:asciiTheme="minorHAnsi" w:hAnsiTheme="minorHAnsi" w:cstheme="minorBidi"/>
          <w:color w:val="auto"/>
          <w:sz w:val="22"/>
          <w:szCs w:val="22"/>
        </w:rPr>
        <w:t xml:space="preserve"> testing to include patients with metastatic HER2-negative breast cancer (who have received prior </w:t>
      </w:r>
      <w:r>
        <w:rPr>
          <w:rFonts w:asciiTheme="minorHAnsi" w:hAnsiTheme="minorHAnsi" w:cstheme="minorBidi"/>
          <w:color w:val="auto"/>
          <w:sz w:val="22"/>
          <w:szCs w:val="22"/>
        </w:rPr>
        <w:t>(</w:t>
      </w:r>
      <w:r w:rsidRPr="00F6344D">
        <w:rPr>
          <w:rFonts w:asciiTheme="minorHAnsi" w:hAnsiTheme="minorHAnsi" w:cstheme="minorBidi"/>
          <w:color w:val="auto"/>
          <w:sz w:val="22"/>
          <w:szCs w:val="22"/>
        </w:rPr>
        <w:t>neo</w:t>
      </w:r>
      <w:r>
        <w:rPr>
          <w:rFonts w:asciiTheme="minorHAnsi" w:hAnsiTheme="minorHAnsi" w:cstheme="minorBidi"/>
          <w:color w:val="auto"/>
          <w:sz w:val="22"/>
          <w:szCs w:val="22"/>
        </w:rPr>
        <w:t>)</w:t>
      </w:r>
      <w:r w:rsidRPr="00F6344D">
        <w:rPr>
          <w:rFonts w:asciiTheme="minorHAnsi" w:hAnsiTheme="minorHAnsi" w:cstheme="minorBidi"/>
          <w:color w:val="auto"/>
          <w:sz w:val="22"/>
          <w:szCs w:val="22"/>
        </w:rPr>
        <w:t>adjuvant chemotherapy) to allow access to a PARP inhibitor in the metastatic setting</w:t>
      </w:r>
      <w:r>
        <w:rPr>
          <w:rFonts w:asciiTheme="minorHAnsi" w:hAnsiTheme="minorHAnsi" w:cstheme="minorBidi"/>
          <w:color w:val="auto"/>
          <w:sz w:val="22"/>
          <w:szCs w:val="22"/>
        </w:rPr>
        <w:t>. The proposed amendments were:</w:t>
      </w:r>
      <w:r w:rsidDel="00774E71">
        <w:rPr>
          <w:rFonts w:asciiTheme="minorHAnsi" w:hAnsiTheme="minorHAnsi" w:cstheme="minorBidi"/>
          <w:color w:val="auto"/>
          <w:sz w:val="22"/>
          <w:szCs w:val="22"/>
        </w:rPr>
        <w:t xml:space="preserve"> </w:t>
      </w:r>
    </w:p>
    <w:p w14:paraId="23B7170D" w14:textId="77777777" w:rsidR="00E37B04" w:rsidRPr="00FD4169" w:rsidRDefault="00E37B04" w:rsidP="00E37B04">
      <w:pPr>
        <w:pStyle w:val="Default"/>
        <w:numPr>
          <w:ilvl w:val="0"/>
          <w:numId w:val="33"/>
        </w:numPr>
        <w:rPr>
          <w:rFonts w:cstheme="minorBidi"/>
          <w:color w:val="auto"/>
          <w:sz w:val="22"/>
          <w:szCs w:val="22"/>
        </w:rPr>
      </w:pPr>
      <w:r w:rsidRPr="00FD4169">
        <w:rPr>
          <w:rFonts w:cstheme="minorBidi"/>
          <w:color w:val="auto"/>
          <w:sz w:val="22"/>
          <w:szCs w:val="22"/>
        </w:rPr>
        <w:t xml:space="preserve">Remove the requirement to have received prior chemotherapy – to allow for earlier testing, to reduce delay of timely access to a PARP inhibitor (current delays in accessing already constrained genetic testing services in Australia or appointment for genetic testing); </w:t>
      </w:r>
    </w:p>
    <w:p w14:paraId="41FC0253" w14:textId="77777777" w:rsidR="00E37B04" w:rsidRPr="00FD4169" w:rsidRDefault="00E37B04" w:rsidP="00E37B04">
      <w:pPr>
        <w:pStyle w:val="Default"/>
        <w:numPr>
          <w:ilvl w:val="0"/>
          <w:numId w:val="33"/>
        </w:numPr>
        <w:rPr>
          <w:rFonts w:cstheme="minorBidi"/>
          <w:color w:val="auto"/>
          <w:sz w:val="22"/>
          <w:szCs w:val="22"/>
        </w:rPr>
      </w:pPr>
      <w:r w:rsidRPr="00FD4169">
        <w:rPr>
          <w:rFonts w:cstheme="minorBidi"/>
          <w:color w:val="auto"/>
          <w:sz w:val="22"/>
          <w:szCs w:val="22"/>
        </w:rPr>
        <w:t>Remove the word “early” from “triple negative early breast cancer” – to make any patient with triple-negative breast cancer eligible for genetic testing regardless of their disease stage at diagnosis.</w:t>
      </w:r>
    </w:p>
    <w:p w14:paraId="0BC15948" w14:textId="4A5BA347" w:rsidR="00E37B04" w:rsidRPr="00FD4169" w:rsidRDefault="00E37B04" w:rsidP="00E37B04">
      <w:pPr>
        <w:pStyle w:val="Default"/>
        <w:numPr>
          <w:ilvl w:val="0"/>
          <w:numId w:val="33"/>
        </w:numPr>
        <w:spacing w:after="240"/>
        <w:rPr>
          <w:rFonts w:cstheme="minorBidi"/>
          <w:color w:val="auto"/>
          <w:sz w:val="22"/>
          <w:szCs w:val="22"/>
        </w:rPr>
      </w:pPr>
      <w:r w:rsidRPr="00FD4169">
        <w:rPr>
          <w:rFonts w:cstheme="minorBidi"/>
          <w:color w:val="auto"/>
          <w:sz w:val="22"/>
          <w:szCs w:val="22"/>
        </w:rPr>
        <w:t>Include in the explanatory note that “Note should be taken of any relevant personal or family history that might indicate a cancer predisposition syndrome and influence the scope of germline testing that is requested.” The rationale was</w:t>
      </w:r>
      <w:r w:rsidRPr="00FD4169" w:rsidDel="00D8300A">
        <w:rPr>
          <w:rFonts w:cstheme="minorBidi"/>
          <w:color w:val="auto"/>
          <w:sz w:val="22"/>
          <w:szCs w:val="22"/>
        </w:rPr>
        <w:t xml:space="preserve"> </w:t>
      </w:r>
      <w:r w:rsidRPr="00FD4169">
        <w:rPr>
          <w:rFonts w:cstheme="minorBidi"/>
          <w:color w:val="auto"/>
          <w:sz w:val="22"/>
          <w:szCs w:val="22"/>
        </w:rPr>
        <w:t xml:space="preserve">to avoid duplication of testing or the patient missing out on the broader testing for the ovarian and/or breast cancer predisposition genes that MBS Item 73296 allows following an uninformative testing of </w:t>
      </w:r>
      <w:r w:rsidRPr="00FD4169">
        <w:rPr>
          <w:rFonts w:cstheme="minorBidi"/>
          <w:i/>
          <w:color w:val="auto"/>
          <w:sz w:val="22"/>
          <w:szCs w:val="22"/>
        </w:rPr>
        <w:t>BRCA1</w:t>
      </w:r>
      <w:r w:rsidRPr="00FD4169">
        <w:rPr>
          <w:rFonts w:cstheme="minorBidi"/>
          <w:color w:val="auto"/>
          <w:sz w:val="22"/>
          <w:szCs w:val="22"/>
        </w:rPr>
        <w:t xml:space="preserve"> and </w:t>
      </w:r>
      <w:r w:rsidRPr="00FD4169">
        <w:rPr>
          <w:rFonts w:cstheme="minorBidi"/>
          <w:i/>
          <w:color w:val="auto"/>
          <w:sz w:val="22"/>
          <w:szCs w:val="22"/>
        </w:rPr>
        <w:t>BRCA2</w:t>
      </w:r>
      <w:r w:rsidRPr="00FD4169">
        <w:rPr>
          <w:rFonts w:cstheme="minorBidi"/>
          <w:color w:val="auto"/>
          <w:sz w:val="22"/>
          <w:szCs w:val="22"/>
        </w:rPr>
        <w:t xml:space="preserve"> genes per MBS Item 73295.</w:t>
      </w:r>
    </w:p>
    <w:p w14:paraId="138ACCA4" w14:textId="77777777" w:rsidR="00E37B04" w:rsidRPr="00FD4169" w:rsidRDefault="00E37B04" w:rsidP="00E37B04">
      <w:pPr>
        <w:pStyle w:val="Default"/>
        <w:rPr>
          <w:rFonts w:cstheme="minorBidi"/>
          <w:i/>
          <w:iCs/>
          <w:color w:val="auto"/>
          <w:sz w:val="22"/>
          <w:szCs w:val="22"/>
        </w:rPr>
      </w:pPr>
      <w:r w:rsidRPr="00FD4169">
        <w:rPr>
          <w:rFonts w:cstheme="minorBidi"/>
          <w:color w:val="auto"/>
          <w:sz w:val="22"/>
          <w:szCs w:val="22"/>
        </w:rPr>
        <w:t>Medex Consulting also</w:t>
      </w:r>
      <w:r w:rsidRPr="00FD4169" w:rsidDel="00AB3B53">
        <w:rPr>
          <w:rFonts w:cstheme="minorBidi"/>
          <w:color w:val="auto"/>
          <w:sz w:val="22"/>
          <w:szCs w:val="22"/>
        </w:rPr>
        <w:t xml:space="preserve"> proposed </w:t>
      </w:r>
      <w:r w:rsidRPr="00FD4169">
        <w:rPr>
          <w:rFonts w:cstheme="minorBidi"/>
          <w:color w:val="auto"/>
          <w:sz w:val="22"/>
          <w:szCs w:val="22"/>
        </w:rPr>
        <w:t>the following changes for MBS item 73296 under</w:t>
      </w:r>
      <w:r w:rsidRPr="00FD4169">
        <w:rPr>
          <w:rFonts w:cstheme="minorBidi"/>
          <w:i/>
          <w:iCs/>
          <w:color w:val="auto"/>
          <w:sz w:val="22"/>
          <w:szCs w:val="22"/>
        </w:rPr>
        <w:t xml:space="preserve"> a) in genes associated with breast, ovarian, fallopian tube or primary peritoneal cancer, which must include at least: </w:t>
      </w:r>
    </w:p>
    <w:p w14:paraId="4ED96CDE" w14:textId="77777777" w:rsidR="00E37B04" w:rsidRPr="00F037C0" w:rsidRDefault="00E37B04" w:rsidP="00E37B04">
      <w:pPr>
        <w:autoSpaceDE w:val="0"/>
        <w:autoSpaceDN w:val="0"/>
        <w:adjustRightInd w:val="0"/>
        <w:spacing w:after="0" w:line="240" w:lineRule="auto"/>
        <w:rPr>
          <w:i/>
          <w:iCs/>
        </w:rPr>
      </w:pPr>
      <w:r w:rsidRPr="00F037C0">
        <w:rPr>
          <w:i/>
          <w:iCs/>
        </w:rPr>
        <w:lastRenderedPageBreak/>
        <w:t xml:space="preserve">(i) </w:t>
      </w:r>
      <w:r w:rsidRPr="00F037C0">
        <w:rPr>
          <w:b/>
          <w:bCs/>
          <w:i/>
          <w:iCs/>
        </w:rPr>
        <w:t>BRCA1 and BRCA 2 genes</w:t>
      </w:r>
      <w:r w:rsidRPr="00F037C0">
        <w:rPr>
          <w:i/>
          <w:iCs/>
        </w:rPr>
        <w:t xml:space="preserve">; and </w:t>
      </w:r>
    </w:p>
    <w:p w14:paraId="7E49725E" w14:textId="72D6C302" w:rsidR="00F913B8" w:rsidRPr="00FD4169" w:rsidRDefault="00E37B04" w:rsidP="00E37B04">
      <w:pPr>
        <w:pStyle w:val="Default"/>
        <w:rPr>
          <w:rFonts w:cstheme="minorBidi"/>
          <w:i/>
          <w:iCs/>
          <w:color w:val="auto"/>
          <w:sz w:val="22"/>
          <w:szCs w:val="22"/>
        </w:rPr>
      </w:pPr>
      <w:r w:rsidRPr="00FD4169">
        <w:rPr>
          <w:rFonts w:cstheme="minorBidi"/>
          <w:i/>
          <w:iCs/>
          <w:color w:val="auto"/>
          <w:sz w:val="22"/>
          <w:szCs w:val="22"/>
        </w:rPr>
        <w:t xml:space="preserve">(ii) one or more </w:t>
      </w:r>
      <w:r w:rsidRPr="00FD4169">
        <w:rPr>
          <w:rFonts w:cstheme="minorBidi"/>
          <w:b/>
          <w:bCs/>
          <w:i/>
          <w:iCs/>
          <w:color w:val="auto"/>
          <w:sz w:val="22"/>
          <w:szCs w:val="22"/>
        </w:rPr>
        <w:t>ATM, BARD1, BRIP1, CDH1, CHEK2, MLH1, MSH2, MSH6, PALB2, PMS2, PTEN, RAD51C, RAD51D,</w:t>
      </w:r>
      <w:r w:rsidRPr="00FD4169">
        <w:rPr>
          <w:rFonts w:cstheme="minorBidi"/>
          <w:i/>
          <w:iCs/>
          <w:color w:val="auto"/>
          <w:sz w:val="22"/>
          <w:szCs w:val="22"/>
        </w:rPr>
        <w:t xml:space="preserve"> STK11, </w:t>
      </w:r>
      <w:r w:rsidRPr="00FD4169">
        <w:rPr>
          <w:rFonts w:cstheme="minorBidi"/>
          <w:b/>
          <w:bCs/>
          <w:i/>
          <w:iCs/>
          <w:strike/>
          <w:color w:val="auto"/>
          <w:sz w:val="22"/>
          <w:szCs w:val="22"/>
        </w:rPr>
        <w:t>PTEN, CDH1, PALB2</w:t>
      </w:r>
      <w:r w:rsidRPr="00FD4169">
        <w:rPr>
          <w:rFonts w:cstheme="minorBidi"/>
          <w:i/>
          <w:iCs/>
          <w:color w:val="auto"/>
          <w:sz w:val="22"/>
          <w:szCs w:val="22"/>
        </w:rPr>
        <w:t xml:space="preserve"> and TP53 genes. </w:t>
      </w:r>
    </w:p>
    <w:p w14:paraId="03C7A1F1" w14:textId="2EC2A31A" w:rsidR="00772829" w:rsidRPr="00CE28E3" w:rsidRDefault="00801332" w:rsidP="002A18BE">
      <w:pPr>
        <w:pStyle w:val="Heading2"/>
        <w:numPr>
          <w:ilvl w:val="0"/>
          <w:numId w:val="0"/>
        </w:numPr>
      </w:pPr>
      <w:bookmarkStart w:id="21" w:name="_Toc69491422"/>
      <w:r>
        <w:t>10</w:t>
      </w:r>
      <w:r w:rsidR="00C36633">
        <w:t>.</w:t>
      </w:r>
      <w:r w:rsidR="00C36633">
        <w:tab/>
      </w:r>
      <w:r w:rsidR="00772829" w:rsidRPr="00CE28E3">
        <w:t>Characteristics of the evidence base</w:t>
      </w:r>
      <w:bookmarkEnd w:id="21"/>
    </w:p>
    <w:p w14:paraId="03CE3C1C" w14:textId="566949D0" w:rsidR="00054427" w:rsidRPr="00054427" w:rsidRDefault="00054427" w:rsidP="0066027B">
      <w:r w:rsidRPr="00054427">
        <w:t>The submission was based on one trial, OlympiAD, an open label randomised controlled trial which compared olaparib (n=205) to chemotherapy (n=97). Patients had a confirmed deleterious or suspected deleterious g</w:t>
      </w:r>
      <w:r w:rsidRPr="0066027B">
        <w:rPr>
          <w:i/>
          <w:iCs/>
        </w:rPr>
        <w:t>BRCA</w:t>
      </w:r>
      <w:r w:rsidRPr="00054427">
        <w:t xml:space="preserve"> </w:t>
      </w:r>
      <w:r w:rsidR="007F54D1">
        <w:t>variant</w:t>
      </w:r>
      <w:r w:rsidR="007F54D1" w:rsidRPr="00054427">
        <w:t xml:space="preserve"> </w:t>
      </w:r>
      <w:r w:rsidRPr="00054427">
        <w:t>and HER2</w:t>
      </w:r>
      <w:r w:rsidR="007F54D1">
        <w:t>-</w:t>
      </w:r>
      <w:r w:rsidRPr="00054427">
        <w:t>negative mBC, and had received no more than two previous chemotherapy regimens for metastatic disease. Patients had been previously treated with chemotherapy (including anthracycline</w:t>
      </w:r>
      <w:r w:rsidR="007F54D1">
        <w:t xml:space="preserve"> </w:t>
      </w:r>
      <w:r w:rsidR="0002724A">
        <w:t>(</w:t>
      </w:r>
      <w:r w:rsidRPr="00054427">
        <w:t>unless contraindicated</w:t>
      </w:r>
      <w:r w:rsidR="0002724A">
        <w:t>)</w:t>
      </w:r>
      <w:r w:rsidRPr="00054427">
        <w:t xml:space="preserve"> and a taxane) in the neoadjuvant, adjuvant or metastatic setting. Patients with hormone-receptor</w:t>
      </w:r>
      <w:r w:rsidR="007F54D1">
        <w:t>-</w:t>
      </w:r>
      <w:r w:rsidRPr="00054427">
        <w:t>positive breast cancer had received at least one endocrine therapy (adjuvant therapy or therapy for metastatic disease) and had</w:t>
      </w:r>
      <w:r w:rsidR="0002724A">
        <w:t xml:space="preserve"> </w:t>
      </w:r>
      <w:r w:rsidRPr="00054427">
        <w:t>disease progression during therapy, unless they had disease for which endocrine therapy was considered to be inappropriate.</w:t>
      </w:r>
    </w:p>
    <w:p w14:paraId="314FE16F" w14:textId="77777777" w:rsidR="00581FCA" w:rsidRDefault="00054427" w:rsidP="0066027B">
      <w:r w:rsidRPr="00054427">
        <w:t xml:space="preserve">The submission also focused on the subgroup of patients who had not received prior chemotherapy for mBC (n=87, of which 59 were randomised to olaparib and 28 were randomised to chemotherapy). The submission assumed that this subgroup was representative of the requested population for treatment. </w:t>
      </w:r>
    </w:p>
    <w:p w14:paraId="19E4BA1E" w14:textId="5AB8D4CD" w:rsidR="00054427" w:rsidRPr="00054427" w:rsidRDefault="00581FCA" w:rsidP="0066027B">
      <w:r w:rsidRPr="00581FCA">
        <w:t>The commentary considered that, b</w:t>
      </w:r>
      <w:r w:rsidR="00054427" w:rsidRPr="00054427">
        <w:t>ased on the populations</w:t>
      </w:r>
      <w:r w:rsidRPr="00581FCA">
        <w:t xml:space="preserve"> clarified by the sponsor, </w:t>
      </w:r>
      <w:r w:rsidR="00054427" w:rsidRPr="00054427">
        <w:t>the subgroup of patients with no prior chemotherapy for mBC would only be applicable to Population</w:t>
      </w:r>
      <w:r w:rsidR="006249AE">
        <w:t> </w:t>
      </w:r>
      <w:r w:rsidR="00054427" w:rsidRPr="00054427">
        <w:t xml:space="preserve">1. The requested restriction for Population 2 required patients to have received previous chemotherapy in the metastatic setting. The submission proposed that efficacy of olaparib from the no prior chemotherapy subgroup in the OlympiAD trial could be used to inform the treatment effect in the </w:t>
      </w:r>
      <w:r w:rsidR="00054427" w:rsidRPr="0066027B">
        <w:rPr>
          <w:i/>
          <w:iCs/>
        </w:rPr>
        <w:t>de novo</w:t>
      </w:r>
      <w:r w:rsidR="00054427" w:rsidRPr="00054427">
        <w:t xml:space="preserve"> subgroup in the economic model. It may have been more appropriate to apply the treatment effect from the whole trial population (up to two lines of prior chemotherapy in metastatic setting) or the prior chemotherapy subgroup</w:t>
      </w:r>
      <w:r w:rsidRPr="00581FCA">
        <w:t>.</w:t>
      </w:r>
    </w:p>
    <w:p w14:paraId="76C4D05C" w14:textId="10FD93A2" w:rsidR="00054427" w:rsidRPr="00054427" w:rsidRDefault="00054427" w:rsidP="0066027B">
      <w:r w:rsidRPr="00054427">
        <w:t xml:space="preserve">Results from three data cut-offs (DCO) were reported: the Primary </w:t>
      </w:r>
      <w:r w:rsidR="00CF01EE">
        <w:t>progression-free survival (</w:t>
      </w:r>
      <w:r w:rsidRPr="00054427">
        <w:t>PFS</w:t>
      </w:r>
      <w:r w:rsidR="00CF01EE">
        <w:t>)</w:t>
      </w:r>
      <w:r w:rsidRPr="00054427">
        <w:t xml:space="preserve"> DCO on 9 December 2016 (at around 230 PFS events, median follow-up 14.1-14.5 months), the final overall survival (OS) DCO on 25 September 2017 (at around 190 OS events, median follow-up 15.5-18.9 months) and the Extended OS DCO on 17 November 2019 (included longer follow</w:t>
      </w:r>
      <w:r w:rsidRPr="00054427">
        <w:noBreakHyphen/>
        <w:t xml:space="preserve">up of patients previously censored at final OS DCO, although median follow-up was unchanged at 15.5-18.9 months). </w:t>
      </w:r>
    </w:p>
    <w:p w14:paraId="102432C6" w14:textId="0B5A598B" w:rsidR="00054427" w:rsidRPr="00054427" w:rsidRDefault="00054427" w:rsidP="0066027B">
      <w:r w:rsidRPr="00054427">
        <w:t>Results were presented for the full analysis set (FAS) (N=302) which included all patients who were randomised into the study, regardless of treatment actually received. The safety analysis set (N=296) included all patients who received at least one dose of randomised study drug</w:t>
      </w:r>
      <w:r w:rsidR="007F54D1">
        <w:t>.</w:t>
      </w:r>
    </w:p>
    <w:p w14:paraId="70718BAA" w14:textId="22CB212A" w:rsidR="00054427" w:rsidRPr="00054427" w:rsidRDefault="00054427" w:rsidP="0066027B">
      <w:pPr>
        <w:rPr>
          <w:color w:val="0066FF"/>
        </w:rPr>
      </w:pPr>
      <w:r w:rsidRPr="00054427">
        <w:t xml:space="preserve">The key features of the included evidence are summarised in </w:t>
      </w:r>
      <w:r w:rsidRPr="00054427">
        <w:fldChar w:fldCharType="begin"/>
      </w:r>
      <w:r w:rsidRPr="00054427">
        <w:instrText xml:space="preserve"> REF _Ref104804098 \h  \* MERGEFORMAT </w:instrText>
      </w:r>
      <w:r w:rsidRPr="00054427">
        <w:fldChar w:fldCharType="separate"/>
      </w:r>
      <w:r w:rsidR="00325DE1" w:rsidRPr="00AD596B">
        <w:t>Table 5</w:t>
      </w:r>
      <w:r w:rsidRPr="00054427">
        <w:fldChar w:fldCharType="end"/>
      </w:r>
      <w:r w:rsidRPr="00054427">
        <w:t xml:space="preserve">. </w:t>
      </w:r>
    </w:p>
    <w:p w14:paraId="4F07EF12" w14:textId="13B5D284" w:rsidR="00054427" w:rsidRPr="00C811C0" w:rsidRDefault="00054427" w:rsidP="00911FBA">
      <w:pPr>
        <w:pStyle w:val="Caption"/>
        <w:rPr>
          <w:rStyle w:val="CommentReference"/>
          <w:rFonts w:eastAsiaTheme="majorEastAsia" w:cstheme="majorBidi"/>
          <w:b w:val="0"/>
          <w:sz w:val="20"/>
          <w:szCs w:val="20"/>
        </w:rPr>
      </w:pPr>
      <w:bookmarkStart w:id="22" w:name="_Ref104804098"/>
      <w:r w:rsidRPr="00C811C0">
        <w:rPr>
          <w:rStyle w:val="CommentReference"/>
          <w:rFonts w:eastAsiaTheme="majorEastAsia" w:cstheme="majorBidi"/>
          <w:sz w:val="20"/>
          <w:szCs w:val="20"/>
        </w:rPr>
        <w:lastRenderedPageBreak/>
        <w:t xml:space="preserve">Table </w:t>
      </w:r>
      <w:r w:rsidRPr="00C811C0">
        <w:rPr>
          <w:rStyle w:val="CommentReference"/>
          <w:rFonts w:eastAsiaTheme="majorEastAsia" w:cstheme="majorBidi"/>
          <w:b w:val="0"/>
          <w:sz w:val="20"/>
          <w:szCs w:val="20"/>
        </w:rPr>
        <w:fldChar w:fldCharType="begin"/>
      </w:r>
      <w:r w:rsidRPr="00C811C0">
        <w:rPr>
          <w:rStyle w:val="CommentReference"/>
          <w:rFonts w:eastAsiaTheme="majorEastAsia" w:cstheme="majorBidi"/>
          <w:sz w:val="20"/>
          <w:szCs w:val="20"/>
        </w:rPr>
        <w:instrText xml:space="preserve"> SEQ Table \* ARABIC </w:instrText>
      </w:r>
      <w:r w:rsidRPr="00C811C0">
        <w:rPr>
          <w:rStyle w:val="CommentReference"/>
          <w:rFonts w:eastAsiaTheme="majorEastAsia" w:cstheme="majorBidi"/>
          <w:b w:val="0"/>
          <w:sz w:val="20"/>
          <w:szCs w:val="20"/>
        </w:rPr>
        <w:fldChar w:fldCharType="separate"/>
      </w:r>
      <w:r w:rsidR="00325DE1">
        <w:rPr>
          <w:rStyle w:val="CommentReference"/>
          <w:rFonts w:eastAsiaTheme="majorEastAsia" w:cstheme="majorBidi"/>
          <w:noProof/>
          <w:sz w:val="20"/>
          <w:szCs w:val="20"/>
        </w:rPr>
        <w:t>5</w:t>
      </w:r>
      <w:r w:rsidRPr="00C811C0">
        <w:rPr>
          <w:rStyle w:val="CommentReference"/>
          <w:rFonts w:eastAsiaTheme="majorEastAsia" w:cstheme="majorBidi"/>
          <w:b w:val="0"/>
          <w:sz w:val="20"/>
          <w:szCs w:val="20"/>
        </w:rPr>
        <w:fldChar w:fldCharType="end"/>
      </w:r>
      <w:bookmarkEnd w:id="22"/>
      <w:r w:rsidR="007F54D1">
        <w:rPr>
          <w:rStyle w:val="CommentReference"/>
          <w:rFonts w:eastAsiaTheme="majorEastAsia" w:cstheme="majorBidi"/>
          <w:sz w:val="20"/>
          <w:szCs w:val="20"/>
        </w:rPr>
        <w:tab/>
      </w:r>
      <w:r w:rsidRPr="00C811C0">
        <w:rPr>
          <w:rStyle w:val="CommentReference"/>
          <w:rFonts w:eastAsiaTheme="majorEastAsia" w:cstheme="majorBidi"/>
          <w:sz w:val="20"/>
          <w:szCs w:val="20"/>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4"/>
        <w:gridCol w:w="426"/>
        <w:gridCol w:w="851"/>
        <w:gridCol w:w="849"/>
        <w:gridCol w:w="3213"/>
        <w:gridCol w:w="985"/>
        <w:gridCol w:w="1138"/>
      </w:tblGrid>
      <w:tr w:rsidR="00054427" w:rsidRPr="004D70F4" w14:paraId="756DEE1C" w14:textId="77777777" w:rsidTr="00583870">
        <w:trPr>
          <w:cantSplit/>
          <w:tblHeader/>
        </w:trPr>
        <w:tc>
          <w:tcPr>
            <w:tcW w:w="862" w:type="pct"/>
            <w:shd w:val="clear" w:color="auto" w:fill="auto"/>
            <w:vAlign w:val="center"/>
          </w:tcPr>
          <w:p w14:paraId="7E6B582E" w14:textId="77777777" w:rsidR="00054427" w:rsidRPr="004D70F4" w:rsidRDefault="00054427" w:rsidP="00911FBA">
            <w:pPr>
              <w:pStyle w:val="In-tableHeading"/>
              <w:rPr>
                <w:lang w:val="en-AU"/>
              </w:rPr>
            </w:pPr>
            <w:r w:rsidRPr="004D70F4">
              <w:rPr>
                <w:lang w:val="en-AU"/>
              </w:rPr>
              <w:t>Trial</w:t>
            </w:r>
          </w:p>
        </w:tc>
        <w:tc>
          <w:tcPr>
            <w:tcW w:w="236" w:type="pct"/>
            <w:shd w:val="clear" w:color="auto" w:fill="auto"/>
            <w:vAlign w:val="center"/>
          </w:tcPr>
          <w:p w14:paraId="7722EA53" w14:textId="77777777" w:rsidR="00054427" w:rsidRPr="004D70F4" w:rsidRDefault="00054427" w:rsidP="00911FBA">
            <w:pPr>
              <w:pStyle w:val="In-tableHeading"/>
              <w:jc w:val="center"/>
              <w:rPr>
                <w:lang w:val="en-AU"/>
              </w:rPr>
            </w:pPr>
            <w:r w:rsidRPr="004D70F4">
              <w:rPr>
                <w:lang w:val="en-AU"/>
              </w:rPr>
              <w:t>N</w:t>
            </w:r>
          </w:p>
        </w:tc>
        <w:tc>
          <w:tcPr>
            <w:tcW w:w="472" w:type="pct"/>
            <w:shd w:val="clear" w:color="auto" w:fill="auto"/>
            <w:vAlign w:val="center"/>
          </w:tcPr>
          <w:p w14:paraId="11845789" w14:textId="77777777" w:rsidR="00054427" w:rsidRPr="004D70F4" w:rsidRDefault="00054427" w:rsidP="00911FBA">
            <w:pPr>
              <w:pStyle w:val="In-tableHeading"/>
              <w:jc w:val="center"/>
              <w:rPr>
                <w:lang w:val="en-AU"/>
              </w:rPr>
            </w:pPr>
            <w:r w:rsidRPr="004D70F4">
              <w:rPr>
                <w:lang w:val="en-AU"/>
              </w:rPr>
              <w:t>Design/ duration</w:t>
            </w:r>
          </w:p>
        </w:tc>
        <w:tc>
          <w:tcPr>
            <w:tcW w:w="471" w:type="pct"/>
            <w:shd w:val="clear" w:color="auto" w:fill="auto"/>
            <w:vAlign w:val="center"/>
          </w:tcPr>
          <w:p w14:paraId="1D1ECD1B" w14:textId="77777777" w:rsidR="00054427" w:rsidRPr="004D70F4" w:rsidRDefault="00054427" w:rsidP="00911FBA">
            <w:pPr>
              <w:pStyle w:val="In-tableHeading"/>
              <w:jc w:val="center"/>
              <w:rPr>
                <w:lang w:val="en-AU"/>
              </w:rPr>
            </w:pPr>
            <w:r w:rsidRPr="004D70F4">
              <w:rPr>
                <w:lang w:val="en-AU"/>
              </w:rPr>
              <w:t>Risk of bias</w:t>
            </w:r>
          </w:p>
        </w:tc>
        <w:tc>
          <w:tcPr>
            <w:tcW w:w="1782" w:type="pct"/>
            <w:shd w:val="clear" w:color="auto" w:fill="auto"/>
            <w:vAlign w:val="center"/>
          </w:tcPr>
          <w:p w14:paraId="41AF5056" w14:textId="77777777" w:rsidR="00054427" w:rsidRPr="004D70F4" w:rsidRDefault="00054427" w:rsidP="00911FBA">
            <w:pPr>
              <w:pStyle w:val="In-tableHeading"/>
              <w:jc w:val="center"/>
              <w:rPr>
                <w:lang w:val="en-AU"/>
              </w:rPr>
            </w:pPr>
            <w:r w:rsidRPr="004D70F4">
              <w:rPr>
                <w:lang w:val="en-AU"/>
              </w:rPr>
              <w:t>Patient population</w:t>
            </w:r>
          </w:p>
        </w:tc>
        <w:tc>
          <w:tcPr>
            <w:tcW w:w="546" w:type="pct"/>
            <w:shd w:val="clear" w:color="auto" w:fill="auto"/>
            <w:vAlign w:val="center"/>
          </w:tcPr>
          <w:p w14:paraId="7DA9D0AD" w14:textId="77777777" w:rsidR="00054427" w:rsidRPr="004D70F4" w:rsidRDefault="00054427" w:rsidP="00911FBA">
            <w:pPr>
              <w:pStyle w:val="In-tableHeading"/>
              <w:jc w:val="center"/>
              <w:rPr>
                <w:lang w:val="en-AU"/>
              </w:rPr>
            </w:pPr>
            <w:r w:rsidRPr="004D70F4">
              <w:rPr>
                <w:lang w:val="en-AU"/>
              </w:rPr>
              <w:t>Outcome(s)</w:t>
            </w:r>
          </w:p>
        </w:tc>
        <w:tc>
          <w:tcPr>
            <w:tcW w:w="631" w:type="pct"/>
            <w:shd w:val="clear" w:color="auto" w:fill="auto"/>
            <w:vAlign w:val="center"/>
          </w:tcPr>
          <w:p w14:paraId="76B76A17" w14:textId="77777777" w:rsidR="00054427" w:rsidRPr="004D70F4" w:rsidRDefault="00054427" w:rsidP="00911FBA">
            <w:pPr>
              <w:pStyle w:val="In-tableHeading"/>
              <w:jc w:val="center"/>
              <w:rPr>
                <w:lang w:val="en-AU"/>
              </w:rPr>
            </w:pPr>
            <w:r w:rsidRPr="004D70F4">
              <w:rPr>
                <w:lang w:val="en-AU"/>
              </w:rPr>
              <w:t>Use in modelled evaluation</w:t>
            </w:r>
          </w:p>
        </w:tc>
      </w:tr>
      <w:tr w:rsidR="00054427" w:rsidRPr="004D70F4" w14:paraId="6CC3717F" w14:textId="77777777" w:rsidTr="00583870">
        <w:trPr>
          <w:cantSplit/>
        </w:trPr>
        <w:tc>
          <w:tcPr>
            <w:tcW w:w="5000" w:type="pct"/>
            <w:gridSpan w:val="7"/>
            <w:shd w:val="clear" w:color="auto" w:fill="auto"/>
            <w:vAlign w:val="center"/>
          </w:tcPr>
          <w:p w14:paraId="1554AED2" w14:textId="77777777" w:rsidR="00054427" w:rsidRPr="004D70F4" w:rsidRDefault="00054427" w:rsidP="00911FBA">
            <w:pPr>
              <w:pStyle w:val="In-tableHeading"/>
              <w:rPr>
                <w:lang w:val="en-AU"/>
              </w:rPr>
            </w:pPr>
            <w:r w:rsidRPr="004D70F4">
              <w:rPr>
                <w:lang w:val="en-AU"/>
              </w:rPr>
              <w:t>Olaparib versus SoC</w:t>
            </w:r>
          </w:p>
        </w:tc>
      </w:tr>
      <w:tr w:rsidR="00054427" w:rsidRPr="004D70F4" w14:paraId="64C1223B" w14:textId="77777777" w:rsidTr="00583870">
        <w:trPr>
          <w:cantSplit/>
        </w:trPr>
        <w:tc>
          <w:tcPr>
            <w:tcW w:w="862" w:type="pct"/>
            <w:shd w:val="clear" w:color="auto" w:fill="auto"/>
            <w:vAlign w:val="center"/>
          </w:tcPr>
          <w:p w14:paraId="20E612B8" w14:textId="77777777" w:rsidR="00054427" w:rsidRPr="004D70F4" w:rsidRDefault="00054427" w:rsidP="00D978C8">
            <w:pPr>
              <w:pStyle w:val="TableText"/>
              <w:keepNext/>
            </w:pPr>
            <w:r w:rsidRPr="004D70F4">
              <w:t>OlympiAD (ITT)</w:t>
            </w:r>
          </w:p>
        </w:tc>
        <w:tc>
          <w:tcPr>
            <w:tcW w:w="236" w:type="pct"/>
            <w:shd w:val="clear" w:color="auto" w:fill="auto"/>
            <w:vAlign w:val="center"/>
          </w:tcPr>
          <w:p w14:paraId="3568E0CE" w14:textId="77777777" w:rsidR="00054427" w:rsidRPr="004D70F4" w:rsidRDefault="00054427" w:rsidP="00D978C8">
            <w:pPr>
              <w:pStyle w:val="TableText"/>
              <w:keepNext/>
              <w:jc w:val="center"/>
            </w:pPr>
            <w:r w:rsidRPr="004D70F4">
              <w:t>302</w:t>
            </w:r>
          </w:p>
        </w:tc>
        <w:tc>
          <w:tcPr>
            <w:tcW w:w="472" w:type="pct"/>
            <w:shd w:val="clear" w:color="auto" w:fill="auto"/>
            <w:vAlign w:val="center"/>
          </w:tcPr>
          <w:p w14:paraId="13850F03" w14:textId="77777777" w:rsidR="00054427" w:rsidRPr="004D70F4" w:rsidRDefault="00054427" w:rsidP="00D978C8">
            <w:pPr>
              <w:pStyle w:val="TableText"/>
              <w:keepNext/>
              <w:jc w:val="center"/>
            </w:pPr>
            <w:r w:rsidRPr="004D70F4">
              <w:t>R, OL, 14-19 months</w:t>
            </w:r>
            <w:r>
              <w:rPr>
                <w:vertAlign w:val="superscript"/>
              </w:rPr>
              <w:t>c</w:t>
            </w:r>
          </w:p>
        </w:tc>
        <w:tc>
          <w:tcPr>
            <w:tcW w:w="471" w:type="pct"/>
            <w:shd w:val="clear" w:color="auto" w:fill="auto"/>
            <w:vAlign w:val="center"/>
          </w:tcPr>
          <w:p w14:paraId="729DA733" w14:textId="77777777" w:rsidR="00054427" w:rsidRPr="004D70F4" w:rsidRDefault="00054427" w:rsidP="00D978C8">
            <w:pPr>
              <w:pStyle w:val="TableText"/>
              <w:keepNext/>
              <w:jc w:val="center"/>
              <w:rPr>
                <w:i/>
                <w:vertAlign w:val="superscript"/>
              </w:rPr>
            </w:pPr>
            <w:r w:rsidRPr="004D70F4">
              <w:rPr>
                <w:i/>
              </w:rPr>
              <w:t xml:space="preserve">Low </w:t>
            </w:r>
            <w:r w:rsidRPr="004D70F4">
              <w:rPr>
                <w:i/>
                <w:vertAlign w:val="superscript"/>
              </w:rPr>
              <w:t>a</w:t>
            </w:r>
          </w:p>
        </w:tc>
        <w:tc>
          <w:tcPr>
            <w:tcW w:w="1782" w:type="pct"/>
            <w:shd w:val="clear" w:color="auto" w:fill="auto"/>
            <w:vAlign w:val="center"/>
          </w:tcPr>
          <w:p w14:paraId="252449D0" w14:textId="77777777" w:rsidR="00054427" w:rsidRPr="004D70F4" w:rsidRDefault="00054427" w:rsidP="00D978C8">
            <w:pPr>
              <w:pStyle w:val="TableText"/>
              <w:keepNext/>
              <w:jc w:val="center"/>
            </w:pPr>
            <w:r w:rsidRPr="00EB07CD">
              <w:rPr>
                <w:i/>
                <w:iCs/>
              </w:rPr>
              <w:t>BRCA</w:t>
            </w:r>
            <w:r w:rsidRPr="004D70F4">
              <w:t xml:space="preserve"> mutation HER 2-, who received no more than two previous chemo regimens for metastatic disease</w:t>
            </w:r>
          </w:p>
        </w:tc>
        <w:tc>
          <w:tcPr>
            <w:tcW w:w="546" w:type="pct"/>
            <w:shd w:val="clear" w:color="auto" w:fill="auto"/>
            <w:vAlign w:val="center"/>
          </w:tcPr>
          <w:p w14:paraId="7C3074D2" w14:textId="77777777" w:rsidR="00054427" w:rsidRPr="004D70F4" w:rsidRDefault="00054427" w:rsidP="00D978C8">
            <w:pPr>
              <w:pStyle w:val="TableText"/>
              <w:keepNext/>
              <w:jc w:val="center"/>
            </w:pPr>
            <w:r w:rsidRPr="004D70F4">
              <w:t>OS, PFS</w:t>
            </w:r>
          </w:p>
        </w:tc>
        <w:tc>
          <w:tcPr>
            <w:tcW w:w="631" w:type="pct"/>
            <w:shd w:val="clear" w:color="auto" w:fill="auto"/>
            <w:vAlign w:val="center"/>
          </w:tcPr>
          <w:p w14:paraId="69FE8855" w14:textId="77777777" w:rsidR="00054427" w:rsidRPr="004D70F4" w:rsidRDefault="00054427" w:rsidP="00D978C8">
            <w:pPr>
              <w:pStyle w:val="TableText"/>
              <w:keepNext/>
              <w:jc w:val="center"/>
            </w:pPr>
            <w:r w:rsidRPr="004D70F4">
              <w:t>OS, PFS1, PFS2</w:t>
            </w:r>
          </w:p>
        </w:tc>
      </w:tr>
      <w:tr w:rsidR="00054427" w:rsidRPr="004D70F4" w14:paraId="144FB251" w14:textId="77777777" w:rsidTr="00583870">
        <w:trPr>
          <w:cantSplit/>
        </w:trPr>
        <w:tc>
          <w:tcPr>
            <w:tcW w:w="862" w:type="pct"/>
            <w:shd w:val="clear" w:color="auto" w:fill="auto"/>
            <w:vAlign w:val="center"/>
          </w:tcPr>
          <w:p w14:paraId="604B2D37" w14:textId="77777777" w:rsidR="00054427" w:rsidRPr="004D70F4" w:rsidRDefault="00054427" w:rsidP="00D978C8">
            <w:pPr>
              <w:pStyle w:val="TableText"/>
              <w:keepNext/>
            </w:pPr>
            <w:r w:rsidRPr="004D70F4">
              <w:t>OlympiAD (no prior chemo subgroup)</w:t>
            </w:r>
          </w:p>
        </w:tc>
        <w:tc>
          <w:tcPr>
            <w:tcW w:w="236" w:type="pct"/>
            <w:shd w:val="clear" w:color="auto" w:fill="auto"/>
            <w:vAlign w:val="center"/>
          </w:tcPr>
          <w:p w14:paraId="3F127384" w14:textId="77777777" w:rsidR="00054427" w:rsidRPr="004D70F4" w:rsidRDefault="00054427" w:rsidP="00D978C8">
            <w:pPr>
              <w:pStyle w:val="TableText"/>
              <w:keepNext/>
              <w:jc w:val="center"/>
            </w:pPr>
            <w:r>
              <w:t>87</w:t>
            </w:r>
          </w:p>
        </w:tc>
        <w:tc>
          <w:tcPr>
            <w:tcW w:w="472" w:type="pct"/>
            <w:shd w:val="clear" w:color="auto" w:fill="auto"/>
            <w:vAlign w:val="center"/>
          </w:tcPr>
          <w:p w14:paraId="41E6754E" w14:textId="77777777" w:rsidR="00054427" w:rsidRPr="004D70F4" w:rsidRDefault="00054427" w:rsidP="00D978C8">
            <w:pPr>
              <w:pStyle w:val="TableText"/>
              <w:keepNext/>
              <w:jc w:val="center"/>
            </w:pPr>
            <w:r w:rsidRPr="004D70F4">
              <w:t>R, OL</w:t>
            </w:r>
          </w:p>
        </w:tc>
        <w:tc>
          <w:tcPr>
            <w:tcW w:w="471" w:type="pct"/>
            <w:shd w:val="clear" w:color="auto" w:fill="auto"/>
            <w:vAlign w:val="center"/>
          </w:tcPr>
          <w:p w14:paraId="412F0FD2" w14:textId="77777777" w:rsidR="00054427" w:rsidRPr="004D70F4" w:rsidRDefault="00054427" w:rsidP="00D978C8">
            <w:pPr>
              <w:pStyle w:val="TableText"/>
              <w:keepNext/>
              <w:jc w:val="center"/>
              <w:rPr>
                <w:i/>
                <w:vertAlign w:val="superscript"/>
              </w:rPr>
            </w:pPr>
            <w:r w:rsidRPr="004D70F4">
              <w:rPr>
                <w:i/>
              </w:rPr>
              <w:t xml:space="preserve">High </w:t>
            </w:r>
            <w:r w:rsidRPr="004D70F4">
              <w:rPr>
                <w:i/>
                <w:vertAlign w:val="superscript"/>
              </w:rPr>
              <w:t>b</w:t>
            </w:r>
          </w:p>
        </w:tc>
        <w:tc>
          <w:tcPr>
            <w:tcW w:w="1782" w:type="pct"/>
            <w:shd w:val="clear" w:color="auto" w:fill="auto"/>
            <w:vAlign w:val="center"/>
          </w:tcPr>
          <w:p w14:paraId="457EC700" w14:textId="77777777" w:rsidR="00054427" w:rsidRPr="004D70F4" w:rsidRDefault="00054427" w:rsidP="00D978C8">
            <w:pPr>
              <w:pStyle w:val="TableText"/>
              <w:keepNext/>
              <w:jc w:val="center"/>
            </w:pPr>
            <w:r w:rsidRPr="00EB07CD">
              <w:rPr>
                <w:i/>
                <w:iCs/>
              </w:rPr>
              <w:t>BRCA</w:t>
            </w:r>
            <w:r w:rsidRPr="004D70F4">
              <w:t xml:space="preserve"> mutation HER 2-, who received no prior chemo regimens for metastatic disease </w:t>
            </w:r>
          </w:p>
        </w:tc>
        <w:tc>
          <w:tcPr>
            <w:tcW w:w="546" w:type="pct"/>
            <w:shd w:val="clear" w:color="auto" w:fill="auto"/>
            <w:vAlign w:val="center"/>
          </w:tcPr>
          <w:p w14:paraId="2BA5316E" w14:textId="77777777" w:rsidR="00054427" w:rsidRPr="004D70F4" w:rsidRDefault="00054427" w:rsidP="00D978C8">
            <w:pPr>
              <w:pStyle w:val="TableText"/>
              <w:keepNext/>
              <w:jc w:val="center"/>
            </w:pPr>
            <w:r w:rsidRPr="004D70F4">
              <w:t>OS, PFS</w:t>
            </w:r>
          </w:p>
        </w:tc>
        <w:tc>
          <w:tcPr>
            <w:tcW w:w="631" w:type="pct"/>
            <w:shd w:val="clear" w:color="auto" w:fill="auto"/>
            <w:vAlign w:val="center"/>
          </w:tcPr>
          <w:p w14:paraId="7B66080C" w14:textId="77777777" w:rsidR="00054427" w:rsidRPr="004D70F4" w:rsidRDefault="00054427" w:rsidP="00D978C8">
            <w:pPr>
              <w:pStyle w:val="TableText"/>
              <w:keepNext/>
              <w:jc w:val="center"/>
            </w:pPr>
            <w:r w:rsidRPr="004D70F4">
              <w:t>OS, PFS1, PFS2</w:t>
            </w:r>
          </w:p>
        </w:tc>
      </w:tr>
    </w:tbl>
    <w:p w14:paraId="50788DF0" w14:textId="77777777" w:rsidR="00054427" w:rsidRPr="004D70F4" w:rsidRDefault="00054427" w:rsidP="00D978C8">
      <w:pPr>
        <w:pStyle w:val="FooterTableFigure"/>
        <w:keepNext/>
      </w:pPr>
      <w:r w:rsidRPr="004D70F4">
        <w:t xml:space="preserve">Source: pp44-50 of the submission. </w:t>
      </w:r>
    </w:p>
    <w:p w14:paraId="3BEA1916" w14:textId="45B3C17E" w:rsidR="00054427" w:rsidRPr="004D70F4" w:rsidRDefault="00D626F8" w:rsidP="00D978C8">
      <w:pPr>
        <w:pStyle w:val="FooterTableFigure"/>
        <w:keepNext/>
      </w:pPr>
      <w:r w:rsidRPr="003B4249">
        <w:rPr>
          <w:i/>
          <w:iCs/>
        </w:rPr>
        <w:t>BRCA</w:t>
      </w:r>
      <w:r>
        <w:t xml:space="preserve"> = </w:t>
      </w:r>
      <w:r w:rsidR="006E6C9F" w:rsidRPr="003B4249">
        <w:rPr>
          <w:i/>
          <w:iCs/>
        </w:rPr>
        <w:t>BReast CAncer gene</w:t>
      </w:r>
      <w:r w:rsidR="006E6C9F">
        <w:rPr>
          <w:i/>
          <w:iCs/>
        </w:rPr>
        <w:t>;</w:t>
      </w:r>
      <w:r w:rsidR="006E6C9F" w:rsidRPr="006E6C9F">
        <w:t xml:space="preserve"> </w:t>
      </w:r>
      <w:r w:rsidR="00054427" w:rsidRPr="004D70F4">
        <w:t>HER2 – human epidermal growth factor receptor type 2; ITT = intention to treat; OL = open label; OS = overall survival; PFS</w:t>
      </w:r>
      <w:r w:rsidR="00054427">
        <w:t>1</w:t>
      </w:r>
      <w:r w:rsidR="00054427" w:rsidRPr="004D70F4">
        <w:t xml:space="preserve"> = progression-free survival; </w:t>
      </w:r>
      <w:r w:rsidR="00054427">
        <w:t xml:space="preserve">PFS2 = time to second progression or death; </w:t>
      </w:r>
      <w:r w:rsidR="00054427" w:rsidRPr="004D70F4">
        <w:t>R = randomised</w:t>
      </w:r>
      <w:r w:rsidR="00054427">
        <w:t>; SoC = standard of care</w:t>
      </w:r>
      <w:r w:rsidR="00054427" w:rsidRPr="004D70F4">
        <w:t>.</w:t>
      </w:r>
    </w:p>
    <w:p w14:paraId="1ED14639" w14:textId="109EFB6D" w:rsidR="00054427" w:rsidRPr="004D70F4" w:rsidRDefault="00054427" w:rsidP="00D978C8">
      <w:pPr>
        <w:pStyle w:val="FooterTableFigure"/>
        <w:keepNext/>
        <w:tabs>
          <w:tab w:val="left" w:pos="284"/>
        </w:tabs>
        <w:ind w:left="284" w:hanging="284"/>
      </w:pPr>
      <w:r w:rsidRPr="0066027B">
        <w:rPr>
          <w:vertAlign w:val="superscript"/>
        </w:rPr>
        <w:t>a</w:t>
      </w:r>
      <w:r w:rsidR="007F54D1">
        <w:tab/>
      </w:r>
      <w:r w:rsidRPr="004D70F4">
        <w:t xml:space="preserve">primary outcome of PFS was based on blinded review and </w:t>
      </w:r>
      <w:r>
        <w:t xml:space="preserve">secondary outcome of </w:t>
      </w:r>
      <w:r w:rsidRPr="004D70F4">
        <w:t>OS unlikely to be affected by open label status</w:t>
      </w:r>
    </w:p>
    <w:p w14:paraId="5D7FBB64" w14:textId="3E203CDF" w:rsidR="00054427" w:rsidRDefault="00054427" w:rsidP="00D978C8">
      <w:pPr>
        <w:pStyle w:val="FooterTableFigure"/>
        <w:keepNext/>
        <w:tabs>
          <w:tab w:val="left" w:pos="284"/>
        </w:tabs>
        <w:ind w:left="284" w:hanging="284"/>
      </w:pPr>
      <w:r w:rsidRPr="0066027B">
        <w:rPr>
          <w:vertAlign w:val="superscript"/>
        </w:rPr>
        <w:t>b</w:t>
      </w:r>
      <w:r w:rsidR="007F54D1">
        <w:tab/>
      </w:r>
      <w:r w:rsidRPr="004D70F4">
        <w:t xml:space="preserve">high risk of bias due to imbalances between baseline characteristics, small sample size and lack of statistical adjustment for subgroup analysis </w:t>
      </w:r>
    </w:p>
    <w:p w14:paraId="55186894" w14:textId="129EF74B" w:rsidR="00054427" w:rsidRPr="004D70F4" w:rsidRDefault="00054427" w:rsidP="00D978C8">
      <w:pPr>
        <w:pStyle w:val="FooterTableFigure"/>
        <w:keepNext/>
        <w:tabs>
          <w:tab w:val="left" w:pos="284"/>
        </w:tabs>
        <w:ind w:left="284" w:hanging="284"/>
        <w:rPr>
          <w:sz w:val="20"/>
        </w:rPr>
      </w:pPr>
      <w:r w:rsidRPr="0066027B">
        <w:rPr>
          <w:vertAlign w:val="superscript"/>
        </w:rPr>
        <w:t>c</w:t>
      </w:r>
      <w:r w:rsidR="007F54D1">
        <w:tab/>
      </w:r>
      <w:r w:rsidRPr="004D70F4">
        <w:t>duration of follow-up for the no prior chemotherapy subgroup</w:t>
      </w:r>
      <w:r>
        <w:t xml:space="preserve"> (Final OS analysis) was 22.1 months in the olaparib arm and 14.1 months in the chemotherapy arm</w:t>
      </w:r>
    </w:p>
    <w:p w14:paraId="625BF1C6" w14:textId="6EEB1F32" w:rsidR="00054427" w:rsidRPr="00054427" w:rsidRDefault="00054427" w:rsidP="0066027B">
      <w:r w:rsidRPr="00054427">
        <w:t xml:space="preserve">The submission claimed that reimbursement was sought for the subgroup of patients who derived the most benefit based on the OlympiAD trial (patients who have not received chemotherapy in the metastatic setting) and the subgroup of patients with the greatest unmet clinical need (i.e. </w:t>
      </w:r>
      <w:r w:rsidRPr="0066027B">
        <w:rPr>
          <w:i/>
          <w:iCs/>
        </w:rPr>
        <w:t>de novo</w:t>
      </w:r>
      <w:r w:rsidRPr="00054427">
        <w:t xml:space="preserve"> mBC patients). </w:t>
      </w:r>
      <w:r w:rsidR="00581FCA" w:rsidRPr="00581FCA">
        <w:t>The commentary stated that it was</w:t>
      </w:r>
      <w:r w:rsidRPr="00054427">
        <w:t xml:space="preserve"> unclear why the submission claimed </w:t>
      </w:r>
      <w:r w:rsidRPr="0066027B">
        <w:rPr>
          <w:i/>
          <w:iCs/>
        </w:rPr>
        <w:t>de novo</w:t>
      </w:r>
      <w:r w:rsidRPr="00054427">
        <w:t xml:space="preserve"> mBC patients had the greatest unmet clinical need. File 2022</w:t>
      </w:r>
      <w:r w:rsidRPr="00054427">
        <w:rPr>
          <w:vertAlign w:val="superscript"/>
        </w:rPr>
        <w:footnoteReference w:id="10"/>
      </w:r>
      <w:r w:rsidRPr="00054427">
        <w:t xml:space="preserve"> reported that </w:t>
      </w:r>
      <w:r w:rsidRPr="0066027B">
        <w:rPr>
          <w:i/>
          <w:iCs/>
        </w:rPr>
        <w:t>de novo</w:t>
      </w:r>
      <w:r w:rsidRPr="00054427">
        <w:t xml:space="preserve"> mBC patients had longer median OS than recurrent mBC patients by nine months (median 36.4 vs 27.4 months, p&lt;0.001).</w:t>
      </w:r>
      <w:r w:rsidRPr="00054427">
        <w:rPr>
          <w:i/>
          <w:iCs/>
        </w:rPr>
        <w:t xml:space="preserve"> </w:t>
      </w:r>
      <w:r w:rsidRPr="00054427">
        <w:t xml:space="preserve">The submission claimed that the </w:t>
      </w:r>
      <w:r w:rsidRPr="0066027B">
        <w:rPr>
          <w:i/>
          <w:iCs/>
        </w:rPr>
        <w:t>de novo</w:t>
      </w:r>
      <w:r w:rsidRPr="00054427">
        <w:t xml:space="preserve"> metastatic and the patients with no prior chemotherapy in the metastatic setting are the least pretreated populations and could therefore be assumed to exhibit similar outcomes.</w:t>
      </w:r>
    </w:p>
    <w:p w14:paraId="7C571876" w14:textId="510C24A3" w:rsidR="00054427" w:rsidRPr="00054427" w:rsidRDefault="00054427" w:rsidP="0066027B">
      <w:pPr>
        <w:rPr>
          <w:i/>
          <w:iCs/>
        </w:rPr>
      </w:pPr>
      <w:r w:rsidRPr="00054427">
        <w:t xml:space="preserve">In the OlympiAD trial, 38 of 302 patients in the whole trial population had </w:t>
      </w:r>
      <w:r w:rsidRPr="0066027B">
        <w:rPr>
          <w:i/>
          <w:iCs/>
        </w:rPr>
        <w:t>de novo</w:t>
      </w:r>
      <w:r w:rsidRPr="00054427">
        <w:t xml:space="preserve"> mBC (12.6%). The submission claimed that it was not possible to separately model the </w:t>
      </w:r>
      <w:r w:rsidRPr="0066027B">
        <w:rPr>
          <w:i/>
          <w:iCs/>
        </w:rPr>
        <w:t>de novo</w:t>
      </w:r>
      <w:r w:rsidRPr="00054427">
        <w:t xml:space="preserve"> metastatic population due to limited data to input in the model. </w:t>
      </w:r>
      <w:r w:rsidR="00D649A6">
        <w:t>T</w:t>
      </w:r>
      <w:r w:rsidR="00581FCA">
        <w:t xml:space="preserve">he commentary considered that, </w:t>
      </w:r>
      <w:r w:rsidR="00581FCA" w:rsidRPr="00D649A6">
        <w:t>r</w:t>
      </w:r>
      <w:r w:rsidRPr="00054427">
        <w:t xml:space="preserve">egardless of the statistical considerations, outcomes in the subgroup of </w:t>
      </w:r>
      <w:r w:rsidRPr="0066027B">
        <w:rPr>
          <w:i/>
          <w:iCs/>
        </w:rPr>
        <w:t>de novo</w:t>
      </w:r>
      <w:r w:rsidRPr="00054427">
        <w:t xml:space="preserve"> patients (particularly PFS and OS) would be useful for indicative purposes</w:t>
      </w:r>
      <w:r w:rsidRPr="00054427">
        <w:rPr>
          <w:i/>
          <w:iCs/>
        </w:rPr>
        <w:t>.</w:t>
      </w:r>
    </w:p>
    <w:p w14:paraId="34525769" w14:textId="3B10E300" w:rsidR="00054427" w:rsidRPr="00054427" w:rsidRDefault="00581FCA" w:rsidP="0066027B">
      <w:bookmarkStart w:id="23" w:name="_Ref165473151"/>
      <w:r>
        <w:t>The commentary considered that gi</w:t>
      </w:r>
      <w:r w:rsidR="00054427" w:rsidRPr="00054427">
        <w:t xml:space="preserve">ven </w:t>
      </w:r>
      <w:r w:rsidR="00054427" w:rsidRPr="0066027B">
        <w:rPr>
          <w:i/>
          <w:iCs/>
        </w:rPr>
        <w:t>de novo</w:t>
      </w:r>
      <w:r w:rsidR="00054427" w:rsidRPr="00054427">
        <w:t xml:space="preserve"> patients and recurrent patients who have had no prior chemotherapies have different disease history (one being recurrent and the other not), it was unclear that both populations being the ‘least pre-treated’ was sufficient grounds to use the no prior chemotherapy subgroup as a proxy for the </w:t>
      </w:r>
      <w:r w:rsidR="00054427" w:rsidRPr="0066027B">
        <w:rPr>
          <w:i/>
          <w:iCs/>
        </w:rPr>
        <w:t>de novo</w:t>
      </w:r>
      <w:r w:rsidR="00054427" w:rsidRPr="00054427">
        <w:t xml:space="preserve"> population. Additionally, based on the proposed restriction and TGA indication, </w:t>
      </w:r>
      <w:r w:rsidR="00054427" w:rsidRPr="0066027B">
        <w:rPr>
          <w:i/>
          <w:iCs/>
        </w:rPr>
        <w:t>de novo</w:t>
      </w:r>
      <w:r w:rsidR="00054427" w:rsidRPr="00054427">
        <w:t xml:space="preserve"> patients must first be treated with chemotherapy in the metastatic setting to be eligible for olaparib treatment. Consequently, it was unclear if the no prior chemotherapy subgroup in OlympiAD was a useful proxy for </w:t>
      </w:r>
      <w:r w:rsidR="00054427" w:rsidRPr="0066027B">
        <w:rPr>
          <w:i/>
          <w:iCs/>
        </w:rPr>
        <w:t>de novo</w:t>
      </w:r>
      <w:r w:rsidR="00054427" w:rsidRPr="00054427">
        <w:t xml:space="preserve"> patients. Instead, the complement subgroup of patients who have received prior chemotherapy in the metastatic setting, or the whole trial population, may be more applicable to </w:t>
      </w:r>
      <w:r w:rsidR="00054427" w:rsidRPr="0066027B">
        <w:rPr>
          <w:i/>
          <w:iCs/>
        </w:rPr>
        <w:t>de novo</w:t>
      </w:r>
      <w:r w:rsidR="00054427" w:rsidRPr="00054427">
        <w:t xml:space="preserve"> mBC patients</w:t>
      </w:r>
      <w:r w:rsidR="00CF01EE">
        <w:t xml:space="preserve"> (</w:t>
      </w:r>
      <w:r w:rsidR="00CF01EE" w:rsidRPr="00054427">
        <w:t>Population 2</w:t>
      </w:r>
      <w:r w:rsidR="00CF01EE">
        <w:t>)</w:t>
      </w:r>
      <w:r w:rsidR="00054427" w:rsidRPr="00054427">
        <w:t>.</w:t>
      </w:r>
      <w:bookmarkEnd w:id="23"/>
      <w:r w:rsidR="00054427" w:rsidRPr="00054427">
        <w:t xml:space="preserve"> </w:t>
      </w:r>
    </w:p>
    <w:p w14:paraId="55F02A3D" w14:textId="38262B48" w:rsidR="00054427" w:rsidRPr="00054427" w:rsidRDefault="00581FCA" w:rsidP="0066027B">
      <w:bookmarkStart w:id="24" w:name="_Ref166437735"/>
      <w:r w:rsidRPr="00581FCA">
        <w:t xml:space="preserve">The commentary noted that there </w:t>
      </w:r>
      <w:r w:rsidR="00054427" w:rsidRPr="00054427">
        <w:t xml:space="preserve">were inconsistencies between the OlympiAD trial and available local registry information in estimates of proportion metastatic patients who were diagnosed with </w:t>
      </w:r>
      <w:r w:rsidR="00054427" w:rsidRPr="0066027B">
        <w:rPr>
          <w:i/>
          <w:iCs/>
        </w:rPr>
        <w:t>de novo</w:t>
      </w:r>
      <w:r w:rsidR="00054427" w:rsidRPr="00054427">
        <w:t xml:space="preserve"> disease, which may affect applicability as well as have implications for the utilisation and financial estimates. </w:t>
      </w:r>
      <w:r w:rsidR="00CF01EE">
        <w:t>O</w:t>
      </w:r>
      <w:r w:rsidR="00054427" w:rsidRPr="00054427">
        <w:t xml:space="preserve">f patients in the OlympiAD trial, </w:t>
      </w:r>
      <w:r w:rsidR="00CF01EE" w:rsidRPr="00054427">
        <w:t xml:space="preserve">12.6% (38/302) </w:t>
      </w:r>
      <w:r w:rsidR="00054427" w:rsidRPr="00054427">
        <w:t xml:space="preserve">included only mBC patients who were </w:t>
      </w:r>
      <w:r w:rsidR="00CF01EE">
        <w:t>g</w:t>
      </w:r>
      <w:r w:rsidR="00054427" w:rsidRPr="0066027B">
        <w:rPr>
          <w:i/>
          <w:iCs/>
        </w:rPr>
        <w:t>BRCA</w:t>
      </w:r>
      <w:r w:rsidR="00054427" w:rsidRPr="00054427">
        <w:t xml:space="preserve">m </w:t>
      </w:r>
      <w:r w:rsidR="00CF01EE">
        <w:t>and</w:t>
      </w:r>
      <w:r w:rsidR="00CF01EE" w:rsidRPr="00054427">
        <w:t xml:space="preserve"> </w:t>
      </w:r>
      <w:r w:rsidR="00054427" w:rsidRPr="00054427">
        <w:t xml:space="preserve">diagnosed in the metastatic setting. While this was consistent </w:t>
      </w:r>
      <w:r w:rsidR="00054427" w:rsidRPr="00054427">
        <w:lastRenderedPageBreak/>
        <w:t xml:space="preserve">with the March 2023 olaparib for eBC submission which claimed that patients with </w:t>
      </w:r>
      <w:r w:rsidR="00054427" w:rsidRPr="0066027B">
        <w:rPr>
          <w:i/>
          <w:iCs/>
        </w:rPr>
        <w:t>de novo</w:t>
      </w:r>
      <w:r w:rsidR="00054427" w:rsidRPr="00054427">
        <w:t xml:space="preserve"> metastatic disease was roughly 5% to 15% of </w:t>
      </w:r>
      <w:r w:rsidR="00054427" w:rsidRPr="0066027B">
        <w:rPr>
          <w:i/>
          <w:iCs/>
        </w:rPr>
        <w:t>BRCA</w:t>
      </w:r>
      <w:r w:rsidR="00054427" w:rsidRPr="00054427">
        <w:t xml:space="preserve">-positive patients in Australia (paragraph 2.7, </w:t>
      </w:r>
      <w:hyperlink r:id="rId16" w:history="1">
        <w:r w:rsidR="0002724A" w:rsidRPr="00695C32">
          <w:rPr>
            <w:rStyle w:val="Hyperlink"/>
          </w:rPr>
          <w:t>olaparib PSD March 2023 PBAC meeting</w:t>
        </w:r>
      </w:hyperlink>
      <w:r w:rsidR="00054427" w:rsidRPr="00054427">
        <w:t>); this proportion differed to the registry data relied upon by the submission for the financial estimates, which used the average of:</w:t>
      </w:r>
      <w:bookmarkEnd w:id="24"/>
    </w:p>
    <w:p w14:paraId="799150DB" w14:textId="2FA2CFC7" w:rsidR="00054427" w:rsidRPr="00054427" w:rsidRDefault="00054427" w:rsidP="00FF07E6">
      <w:pPr>
        <w:pStyle w:val="ListParagraph"/>
        <w:numPr>
          <w:ilvl w:val="0"/>
          <w:numId w:val="17"/>
        </w:numPr>
        <w:ind w:left="284" w:hanging="284"/>
      </w:pPr>
      <w:r w:rsidRPr="00054427">
        <w:t>The Kisqali Access Registry for Metastatic Breast Cancer in Australia (KARMA) registry, which included patients who received first-line treatment with ribociclib and aromatase inhibitor for hormone receptor positive, HER2</w:t>
      </w:r>
      <w:r w:rsidR="00CF01EE">
        <w:t>-</w:t>
      </w:r>
      <w:r w:rsidRPr="00054427">
        <w:t xml:space="preserve">negative metastatic breast cancer, included 26% (42/160) </w:t>
      </w:r>
      <w:r w:rsidRPr="0066027B">
        <w:rPr>
          <w:i/>
          <w:iCs/>
        </w:rPr>
        <w:t>de novo</w:t>
      </w:r>
      <w:r w:rsidRPr="00054427">
        <w:t xml:space="preserve"> patients; and </w:t>
      </w:r>
    </w:p>
    <w:p w14:paraId="56D7D493" w14:textId="77777777" w:rsidR="00054427" w:rsidRPr="00054427" w:rsidRDefault="00054427" w:rsidP="00FF07E6">
      <w:pPr>
        <w:pStyle w:val="ListParagraph"/>
        <w:numPr>
          <w:ilvl w:val="0"/>
          <w:numId w:val="17"/>
        </w:numPr>
        <w:ind w:left="284" w:hanging="284"/>
      </w:pPr>
      <w:r w:rsidRPr="00054427">
        <w:t xml:space="preserve">The Advanced Hormone Receptor Positive Breast Cancer (ARORA) registry analysis included: patients diagnosed with metastatic, or inoperable histologically confirmed HR+, HER2- breast cancer (either </w:t>
      </w:r>
      <w:r w:rsidRPr="0066027B">
        <w:rPr>
          <w:i/>
          <w:iCs/>
        </w:rPr>
        <w:t>de novo</w:t>
      </w:r>
      <w:r w:rsidRPr="00054427">
        <w:t xml:space="preserve"> metastatic or relapsed), after 1st January 2020. The ARORA registry estimated 41% (173/424) of included patients to be </w:t>
      </w:r>
      <w:r w:rsidRPr="0066027B">
        <w:rPr>
          <w:i/>
          <w:iCs/>
        </w:rPr>
        <w:t>de novo</w:t>
      </w:r>
      <w:r w:rsidRPr="00054427">
        <w:t xml:space="preserve">. </w:t>
      </w:r>
    </w:p>
    <w:p w14:paraId="3102DE59" w14:textId="294B2DA2" w:rsidR="00054427" w:rsidRPr="00054427" w:rsidRDefault="00054427" w:rsidP="0066027B">
      <w:r w:rsidRPr="00054427">
        <w:t xml:space="preserve">While chemotherapy use in the metastatic setting was one of several pre-planned subgroup analyses, </w:t>
      </w:r>
      <w:r w:rsidR="00CF01EE">
        <w:t>t</w:t>
      </w:r>
      <w:r w:rsidR="00907F39" w:rsidRPr="00907F39">
        <w:t xml:space="preserve">he commentary considered it unclear </w:t>
      </w:r>
      <w:r w:rsidRPr="00054427">
        <w:t xml:space="preserve">whether stratification for this variable would be sufficient for the small sample sizes in each arm of the no prior chemotherapy subgroup. For example, differences in baseline Eastern Cooperative Oncology Group (ECOG) status and metastatic sites between arms were identified and potential issues with patient selection are indicated by differences in OS in the chemotherapy arms of the whole trial and subgroup populations (see </w:t>
      </w:r>
      <w:r w:rsidRPr="00054427">
        <w:fldChar w:fldCharType="begin"/>
      </w:r>
      <w:r w:rsidRPr="00054427">
        <w:instrText xml:space="preserve"> REF _Ref164436316 \h  \* MERGEFORMAT </w:instrText>
      </w:r>
      <w:r w:rsidRPr="00054427">
        <w:fldChar w:fldCharType="separate"/>
      </w:r>
      <w:r w:rsidR="00325DE1" w:rsidRPr="004D70F4">
        <w:t xml:space="preserve">Table </w:t>
      </w:r>
      <w:r w:rsidR="00325DE1">
        <w:t>7</w:t>
      </w:r>
      <w:r w:rsidRPr="00054427">
        <w:fldChar w:fldCharType="end"/>
      </w:r>
      <w:r w:rsidRPr="00054427">
        <w:t xml:space="preserve"> and </w:t>
      </w:r>
      <w:r w:rsidRPr="00054427">
        <w:fldChar w:fldCharType="begin"/>
      </w:r>
      <w:r w:rsidRPr="00054427">
        <w:instrText xml:space="preserve"> REF _Ref164436327 \h  \* MERGEFORMAT </w:instrText>
      </w:r>
      <w:r w:rsidRPr="00054427">
        <w:fldChar w:fldCharType="separate"/>
      </w:r>
      <w:r w:rsidR="00325DE1" w:rsidRPr="004D70F4">
        <w:t xml:space="preserve">Table </w:t>
      </w:r>
      <w:r w:rsidR="00325DE1">
        <w:t>8</w:t>
      </w:r>
      <w:r w:rsidRPr="00054427">
        <w:fldChar w:fldCharType="end"/>
      </w:r>
      <w:r w:rsidRPr="00054427">
        <w:t xml:space="preserve">). </w:t>
      </w:r>
    </w:p>
    <w:p w14:paraId="5618D918" w14:textId="13441F44" w:rsidR="00054427" w:rsidRPr="00054427" w:rsidRDefault="00054427" w:rsidP="0066027B">
      <w:r w:rsidRPr="00054427">
        <w:t xml:space="preserve">The </w:t>
      </w:r>
      <w:r w:rsidR="00907F39" w:rsidRPr="00D649A6">
        <w:t xml:space="preserve">commentary noted that the </w:t>
      </w:r>
      <w:r w:rsidRPr="00054427">
        <w:t xml:space="preserve">subgroup analysis of no prior chemotherapy had not been included in OlympiAD’s sequential hypothesis testing plan; therefore, statistical significance cannot be claimed in the subgroups.  </w:t>
      </w:r>
    </w:p>
    <w:p w14:paraId="124D429E" w14:textId="46E06BA3" w:rsidR="00054427" w:rsidRPr="00054427" w:rsidRDefault="00054427" w:rsidP="0066027B">
      <w:bookmarkStart w:id="25" w:name="_Ref166069374"/>
      <w:r w:rsidRPr="00054427">
        <w:t>Additionally,</w:t>
      </w:r>
      <w:r w:rsidR="00907F39" w:rsidRPr="00D649A6">
        <w:t xml:space="preserve"> the commentary noted the </w:t>
      </w:r>
      <w:r w:rsidRPr="00054427">
        <w:t>following applicability issues when compar</w:t>
      </w:r>
      <w:r w:rsidR="00907F39" w:rsidRPr="00D649A6">
        <w:t>ing the OlympiAD trial</w:t>
      </w:r>
      <w:r w:rsidRPr="00054427">
        <w:t xml:space="preserve"> to the Australian population:</w:t>
      </w:r>
      <w:bookmarkEnd w:id="25"/>
    </w:p>
    <w:p w14:paraId="39015328" w14:textId="77777777" w:rsidR="00054427" w:rsidRPr="00054427" w:rsidRDefault="00054427" w:rsidP="00FF07E6">
      <w:pPr>
        <w:pStyle w:val="ListParagraph"/>
        <w:numPr>
          <w:ilvl w:val="0"/>
          <w:numId w:val="18"/>
        </w:numPr>
        <w:ind w:left="284" w:hanging="284"/>
      </w:pPr>
      <w:r w:rsidRPr="00054427">
        <w:t xml:space="preserve">The mean age of patients in the trial (45.3 years) was almost 20 years younger than in the expected Australian population (64 years). In addition to creating uncertainty as to whether age may be a treatment effect modifier, it would be expected that background mortality (due to age) would be higher in the Australian population and </w:t>
      </w:r>
      <w:r w:rsidRPr="00CF01EE">
        <w:t>any OS gains</w:t>
      </w:r>
      <w:r w:rsidRPr="00054427">
        <w:t xml:space="preserve"> may be reduced in a more elderly population; </w:t>
      </w:r>
    </w:p>
    <w:p w14:paraId="02E0025F" w14:textId="77777777" w:rsidR="00054427" w:rsidRPr="00054427" w:rsidRDefault="00054427" w:rsidP="00FF07E6">
      <w:pPr>
        <w:pStyle w:val="ListParagraph"/>
        <w:numPr>
          <w:ilvl w:val="0"/>
          <w:numId w:val="18"/>
        </w:numPr>
        <w:ind w:left="284" w:hanging="284"/>
      </w:pPr>
      <w:r w:rsidRPr="00054427">
        <w:t>The proportion of patients with an ECOG status of 0 was much greater in OlympiAD (80%) than in the requested population (61%). This would likely impact the applicability of the OS estimates; and</w:t>
      </w:r>
    </w:p>
    <w:p w14:paraId="2E554212" w14:textId="3287A59A" w:rsidR="00907F39" w:rsidRPr="00D649A6" w:rsidRDefault="00054427" w:rsidP="00FF07E6">
      <w:pPr>
        <w:pStyle w:val="ListParagraph"/>
        <w:numPr>
          <w:ilvl w:val="0"/>
          <w:numId w:val="18"/>
        </w:numPr>
        <w:ind w:left="284" w:hanging="284"/>
      </w:pPr>
      <w:r w:rsidRPr="00054427">
        <w:t xml:space="preserve">The chemotherapies used in OlympiAD may not be reflective of the chemotherapy regimens used in Australia, particularly for 1L TNBC. </w:t>
      </w:r>
      <w:bookmarkStart w:id="26" w:name="_Toc69491423"/>
    </w:p>
    <w:p w14:paraId="4009D27D" w14:textId="6C177E87" w:rsidR="00E349E0" w:rsidRPr="00D649A6" w:rsidRDefault="00E349E0" w:rsidP="00655220">
      <w:r>
        <w:rPr>
          <w:i/>
          <w:iCs/>
        </w:rPr>
        <w:t>PBAC</w:t>
      </w:r>
      <w:r w:rsidRPr="00655220">
        <w:rPr>
          <w:i/>
          <w:iCs/>
        </w:rPr>
        <w:t xml:space="preserve"> ESC considered </w:t>
      </w:r>
      <w:r w:rsidR="00FA7535" w:rsidRPr="00FA7535">
        <w:rPr>
          <w:i/>
          <w:iCs/>
        </w:rPr>
        <w:t xml:space="preserve">the no prior chemotherapy subgroup in OlympiAD was not a reasonable proxy for </w:t>
      </w:r>
      <w:r w:rsidR="00FA7535" w:rsidRPr="00655220">
        <w:t>de novo</w:t>
      </w:r>
      <w:r w:rsidR="00FA7535" w:rsidRPr="00FA7535">
        <w:rPr>
          <w:i/>
          <w:iCs/>
        </w:rPr>
        <w:t xml:space="preserve"> patients</w:t>
      </w:r>
      <w:r w:rsidR="00202DC6">
        <w:rPr>
          <w:i/>
          <w:iCs/>
        </w:rPr>
        <w:t xml:space="preserve"> </w:t>
      </w:r>
      <w:r w:rsidR="006E1A8A" w:rsidRPr="006E1A8A">
        <w:rPr>
          <w:i/>
          <w:iCs/>
        </w:rPr>
        <w:t xml:space="preserve">(para. </w:t>
      </w:r>
      <w:r w:rsidR="006E1A8A">
        <w:rPr>
          <w:i/>
          <w:iCs/>
        </w:rPr>
        <w:t>6.10</w:t>
      </w:r>
      <w:r w:rsidR="006E1A8A" w:rsidRPr="006E1A8A">
        <w:rPr>
          <w:i/>
          <w:iCs/>
        </w:rPr>
        <w:t>, Olaparib ESC ADV 07-2024)</w:t>
      </w:r>
      <w:r>
        <w:t>.</w:t>
      </w:r>
    </w:p>
    <w:p w14:paraId="3B9FC2AD" w14:textId="7C441603" w:rsidR="00772829" w:rsidRPr="00CE28E3" w:rsidRDefault="00801332" w:rsidP="002A18BE">
      <w:pPr>
        <w:pStyle w:val="Heading2"/>
        <w:numPr>
          <w:ilvl w:val="0"/>
          <w:numId w:val="0"/>
        </w:numPr>
      </w:pPr>
      <w:r>
        <w:t>11</w:t>
      </w:r>
      <w:r w:rsidR="00C36633">
        <w:t>.</w:t>
      </w:r>
      <w:r w:rsidR="00C36633">
        <w:tab/>
      </w:r>
      <w:r w:rsidR="00772829" w:rsidRPr="00CE28E3">
        <w:t>Comparative safety</w:t>
      </w:r>
      <w:bookmarkEnd w:id="26"/>
    </w:p>
    <w:p w14:paraId="2C275A4F" w14:textId="77777777" w:rsidR="008D6B4D" w:rsidRDefault="008D6B4D" w:rsidP="008D6B4D">
      <w:pPr>
        <w:pStyle w:val="Heading3"/>
      </w:pPr>
      <w:r w:rsidRPr="00DA75EC">
        <w:t>Test</w:t>
      </w:r>
    </w:p>
    <w:p w14:paraId="7AED412C" w14:textId="2C91095C" w:rsidR="008D6B4D" w:rsidRDefault="008D6B4D" w:rsidP="00A2401B">
      <w:r w:rsidRPr="00CD7B0D">
        <w:t>The submission did not make an explicit clinical claim with respective to comparative safety.</w:t>
      </w:r>
    </w:p>
    <w:p w14:paraId="4B7726D4" w14:textId="0BF85F02" w:rsidR="00CF01EE" w:rsidRPr="008D6B4D" w:rsidRDefault="00CF01EE" w:rsidP="00A2401B">
      <w:r>
        <w:t xml:space="preserve">The </w:t>
      </w:r>
      <w:r w:rsidR="00A2401B">
        <w:t>commentary</w:t>
      </w:r>
      <w:r w:rsidRPr="00CF01EE">
        <w:t xml:space="preserve"> noted that </w:t>
      </w:r>
      <w:r w:rsidR="00A2401B">
        <w:t xml:space="preserve">in previous considerations of the test, </w:t>
      </w:r>
      <w:r w:rsidRPr="00CF01EE">
        <w:t>adverse events resulting from the testing procedure were unlikely and that due to the high performance of testing it was unlikely to have downstream safety concerns resulting from false positive or false negative test results</w:t>
      </w:r>
      <w:r w:rsidR="00A2401B">
        <w:t xml:space="preserve"> (p15, </w:t>
      </w:r>
      <w:hyperlink r:id="rId17" w:history="1">
        <w:r w:rsidR="00A2401B">
          <w:rPr>
            <w:rStyle w:val="Hyperlink"/>
          </w:rPr>
          <w:t>1716 PSD March 2023 MSAC meeting</w:t>
        </w:r>
      </w:hyperlink>
      <w:r w:rsidR="00A2401B">
        <w:rPr>
          <w:rStyle w:val="Hyperlink"/>
        </w:rPr>
        <w:t>)</w:t>
      </w:r>
      <w:r>
        <w:t>.</w:t>
      </w:r>
    </w:p>
    <w:p w14:paraId="7AEA3987" w14:textId="017E4684" w:rsidR="008D6B4D" w:rsidRPr="00DA75EC" w:rsidRDefault="008D6B4D" w:rsidP="008D6B4D">
      <w:pPr>
        <w:pStyle w:val="Heading3"/>
      </w:pPr>
      <w:r>
        <w:lastRenderedPageBreak/>
        <w:t>Codependent drug</w:t>
      </w:r>
    </w:p>
    <w:p w14:paraId="1A74C7B5" w14:textId="18D18CCE" w:rsidR="001D74A7" w:rsidRPr="00A2401B" w:rsidRDefault="008D6B4D" w:rsidP="0066027B">
      <w:r w:rsidRPr="008D6B4D">
        <w:t xml:space="preserve">The comparative safety of treatment with </w:t>
      </w:r>
      <w:r w:rsidR="00106504">
        <w:t>o</w:t>
      </w:r>
      <w:r w:rsidRPr="008D6B4D">
        <w:t>laparib will be considered by the PBAC.</w:t>
      </w:r>
      <w:r>
        <w:t xml:space="preserve"> The submission described </w:t>
      </w:r>
      <w:r w:rsidR="00106504">
        <w:t>o</w:t>
      </w:r>
      <w:r>
        <w:t>laparib as non-inferior in terms of safety to chemotherapy. T</w:t>
      </w:r>
      <w:r w:rsidRPr="008D6B4D">
        <w:t>his was generally supported when compared to the three chemotherapy regimens included as comparators in the OlympiAD (capecitabine, eribulin and vinorelbine). However, in the Australian setting, it would be expected that a proportion of patients would be treated with second line endocrine therapy (for HR+ patients) as well as pembrolizumab plus chemotherapy for some TNBC patients and even sacituzumab govitecan in some cases. Consequently, it is unlikely that the comparator safety profile in OlympiAD reflects the average safety profile for the requested</w:t>
      </w:r>
      <w:r w:rsidR="00A2401B">
        <w:rPr>
          <w:b/>
        </w:rPr>
        <w:t xml:space="preserve"> </w:t>
      </w:r>
      <w:r w:rsidR="00A2401B" w:rsidRPr="00A2401B">
        <w:t>population</w:t>
      </w:r>
      <w:r w:rsidRPr="00A2401B">
        <w:t>.</w:t>
      </w:r>
    </w:p>
    <w:p w14:paraId="62EFB504" w14:textId="2E1C17DB" w:rsidR="003D4CFD" w:rsidRDefault="00C36633" w:rsidP="003D4CFD">
      <w:pPr>
        <w:pStyle w:val="Heading2"/>
        <w:numPr>
          <w:ilvl w:val="0"/>
          <w:numId w:val="0"/>
        </w:numPr>
      </w:pPr>
      <w:bookmarkStart w:id="27" w:name="_Toc69491424"/>
      <w:r>
        <w:t>1</w:t>
      </w:r>
      <w:r w:rsidR="00801332">
        <w:t>2</w:t>
      </w:r>
      <w:r>
        <w:t>.</w:t>
      </w:r>
      <w:r>
        <w:tab/>
      </w:r>
      <w:r w:rsidR="00772829" w:rsidRPr="00CE28E3">
        <w:t>Comparative effectiveness</w:t>
      </w:r>
      <w:bookmarkEnd w:id="27"/>
    </w:p>
    <w:p w14:paraId="6BF01951" w14:textId="77777777" w:rsidR="00106504" w:rsidRPr="00F87A3A" w:rsidRDefault="00106504" w:rsidP="00106504">
      <w:pPr>
        <w:pStyle w:val="Heading3"/>
      </w:pPr>
      <w:r w:rsidRPr="00F87A3A">
        <w:t>Comparative analytical performance</w:t>
      </w:r>
    </w:p>
    <w:p w14:paraId="1A709425" w14:textId="1431D448" w:rsidR="00106504" w:rsidRPr="00106504" w:rsidRDefault="00106504" w:rsidP="00106504">
      <w:r>
        <w:t xml:space="preserve">The submission did not present any comparison of analytical performance for </w:t>
      </w:r>
      <w:r w:rsidRPr="0066027B">
        <w:rPr>
          <w:i/>
          <w:iCs/>
        </w:rPr>
        <w:t>BRCA</w:t>
      </w:r>
      <w:r>
        <w:t xml:space="preserve"> testing. </w:t>
      </w:r>
      <w:r w:rsidR="00A2401B">
        <w:t>I</w:t>
      </w:r>
      <w:r>
        <w:t xml:space="preserve">n the context of the economic model (discussed below), the model implicitly assumed 100% diagnostic accuracy. </w:t>
      </w:r>
    </w:p>
    <w:p w14:paraId="49E1767B" w14:textId="77777777" w:rsidR="003D4CFD" w:rsidRPr="004D70F4" w:rsidRDefault="003D4CFD" w:rsidP="0066027B">
      <w:pPr>
        <w:pStyle w:val="Heading3"/>
      </w:pPr>
      <w:bookmarkStart w:id="28" w:name="_Toc165368719"/>
      <w:r>
        <w:t>Progression free survival</w:t>
      </w:r>
      <w:bookmarkEnd w:id="28"/>
    </w:p>
    <w:p w14:paraId="698B18BC" w14:textId="0E1439CA" w:rsidR="003D4CFD" w:rsidRPr="0080791B" w:rsidRDefault="003D4CFD" w:rsidP="00D5783F">
      <w:r>
        <w:t xml:space="preserve">The primary outcome of OlympiAD was PFS. </w:t>
      </w:r>
      <w:r w:rsidRPr="004D70F4">
        <w:t xml:space="preserve">At the time of the primary PFS analysis (9 December 2016), median PFS in the whole trial population was </w:t>
      </w:r>
      <w:r>
        <w:t>2.8 months</w:t>
      </w:r>
      <w:r w:rsidRPr="004D70F4">
        <w:t xml:space="preserve"> longer in the olaparib group than in the chemotherapy group and treatment with olaparib resulted in a 42% reduction in the risk of disease progression or death compared to chemotherapy in the whole trial population (median PFS 7.0 months vs 4.2 months; hazard ratio [HR] for disease progression or death 0.58; 95% confidence </w:t>
      </w:r>
      <w:r w:rsidRPr="0080791B">
        <w:t>interval [CI] 0.43 to 0.80; p&lt;0.001). The submission considered that this improvement in PFS was both statistically significant and clinically relevant.</w:t>
      </w:r>
    </w:p>
    <w:p w14:paraId="1840CC26" w14:textId="77777777" w:rsidR="003D4CFD" w:rsidRPr="0080791B" w:rsidRDefault="003D4CFD" w:rsidP="00D5783F">
      <w:r w:rsidRPr="004D70F4">
        <w:t xml:space="preserve">The submission noted that in patients who received no prior chemotherapy for mBC, olaparib significantly extended PFS by 3.8 months and reduced the risk of disease progression or death by 44% compared to chemotherapy (median 7.7 </w:t>
      </w:r>
      <w:r w:rsidRPr="0080791B">
        <w:t xml:space="preserve">vs 3.9 months; HR=0.56; 95% CI: 0.34, 0.98; p&lt;0.05). The proportion of patients who had not progressed or died at DCO for the primary PFS analysis was 74.6% in the olaparib arm compared with 71.4% in the chemotherapy arm, respectively. </w:t>
      </w:r>
    </w:p>
    <w:p w14:paraId="08E49E35" w14:textId="29CFF714" w:rsidR="003D4CFD" w:rsidRPr="0080791B" w:rsidRDefault="003D4CFD" w:rsidP="00D5783F">
      <w:r w:rsidRPr="0080791B">
        <w:fldChar w:fldCharType="begin"/>
      </w:r>
      <w:r w:rsidRPr="0080791B">
        <w:instrText xml:space="preserve"> REF _Ref164436110 \h </w:instrText>
      </w:r>
      <w:r>
        <w:instrText xml:space="preserve"> \* MERGEFORMAT </w:instrText>
      </w:r>
      <w:r w:rsidRPr="0080791B">
        <w:fldChar w:fldCharType="separate"/>
      </w:r>
      <w:r w:rsidR="00325DE1" w:rsidRPr="004D70F4">
        <w:t xml:space="preserve">Table </w:t>
      </w:r>
      <w:r w:rsidR="00325DE1">
        <w:rPr>
          <w:noProof/>
        </w:rPr>
        <w:t>6</w:t>
      </w:r>
      <w:r w:rsidRPr="0080791B">
        <w:fldChar w:fldCharType="end"/>
      </w:r>
      <w:r w:rsidRPr="0080791B">
        <w:t xml:space="preserve"> presents the primary endpoint, PFS by </w:t>
      </w:r>
      <w:r w:rsidR="00391E4B">
        <w:t>blinded independent central review (</w:t>
      </w:r>
      <w:r w:rsidRPr="0080791B">
        <w:t>BICR</w:t>
      </w:r>
      <w:r w:rsidR="00391E4B">
        <w:t xml:space="preserve">) </w:t>
      </w:r>
      <w:r w:rsidRPr="0080791B">
        <w:t>at the primary PFS DCO in the whole trial population as well as the no prior chemotherapy subgroup and its complement.</w:t>
      </w:r>
    </w:p>
    <w:p w14:paraId="459606E9" w14:textId="0C6E06DD" w:rsidR="003D4CFD" w:rsidRPr="004D70F4" w:rsidRDefault="003D4CFD" w:rsidP="00911FBA">
      <w:pPr>
        <w:pStyle w:val="Caption"/>
      </w:pPr>
      <w:bookmarkStart w:id="29" w:name="_Ref164436110"/>
      <w:r w:rsidRPr="004D70F4">
        <w:lastRenderedPageBreak/>
        <w:t xml:space="preserve">Table </w:t>
      </w:r>
      <w:r w:rsidR="008F6B43">
        <w:fldChar w:fldCharType="begin"/>
      </w:r>
      <w:r w:rsidR="008F6B43">
        <w:instrText xml:space="preserve"> SEQ Table \* ARABIC </w:instrText>
      </w:r>
      <w:r w:rsidR="008F6B43">
        <w:fldChar w:fldCharType="separate"/>
      </w:r>
      <w:r w:rsidR="00325DE1">
        <w:rPr>
          <w:noProof/>
        </w:rPr>
        <w:t>6</w:t>
      </w:r>
      <w:r w:rsidR="008F6B43">
        <w:rPr>
          <w:noProof/>
        </w:rPr>
        <w:fldChar w:fldCharType="end"/>
      </w:r>
      <w:bookmarkEnd w:id="29"/>
      <w:r w:rsidR="001D638C">
        <w:rPr>
          <w:noProof/>
        </w:rPr>
        <w:tab/>
      </w:r>
      <w:r w:rsidRPr="004D70F4">
        <w:t>Progression-</w:t>
      </w:r>
      <w:r w:rsidRPr="0066027B">
        <w:rPr>
          <w:rStyle w:val="CommentReference"/>
          <w:sz w:val="20"/>
          <w:szCs w:val="20"/>
        </w:rPr>
        <w:t>free</w:t>
      </w:r>
      <w:r w:rsidRPr="004D70F4">
        <w:t xml:space="preserve"> survival, primary PFS DCO </w:t>
      </w:r>
    </w:p>
    <w:tbl>
      <w:tblPr>
        <w:tblStyle w:val="TableGrid"/>
        <w:tblW w:w="4931" w:type="pct"/>
        <w:tblLayout w:type="fixed"/>
        <w:tblCellMar>
          <w:left w:w="29" w:type="dxa"/>
          <w:right w:w="29" w:type="dxa"/>
        </w:tblCellMar>
        <w:tblLook w:val="04A0" w:firstRow="1" w:lastRow="0" w:firstColumn="1" w:lastColumn="0" w:noHBand="0" w:noVBand="1"/>
      </w:tblPr>
      <w:tblGrid>
        <w:gridCol w:w="2282"/>
        <w:gridCol w:w="985"/>
        <w:gridCol w:w="1266"/>
        <w:gridCol w:w="912"/>
        <w:gridCol w:w="1215"/>
        <w:gridCol w:w="973"/>
        <w:gridCol w:w="1259"/>
      </w:tblGrid>
      <w:tr w:rsidR="003D4CFD" w:rsidRPr="004D70F4" w14:paraId="52E2C3C4" w14:textId="77777777" w:rsidTr="003B4249">
        <w:tc>
          <w:tcPr>
            <w:tcW w:w="1283" w:type="pct"/>
            <w:vMerge w:val="restart"/>
            <w:vAlign w:val="center"/>
          </w:tcPr>
          <w:p w14:paraId="2793E034" w14:textId="77777777" w:rsidR="003D4CFD" w:rsidRPr="004D70F4" w:rsidRDefault="003D4CFD" w:rsidP="00D978C8">
            <w:pPr>
              <w:pStyle w:val="TableText"/>
              <w:keepNext/>
            </w:pPr>
          </w:p>
        </w:tc>
        <w:tc>
          <w:tcPr>
            <w:tcW w:w="1266" w:type="pct"/>
            <w:gridSpan w:val="2"/>
            <w:vAlign w:val="center"/>
          </w:tcPr>
          <w:p w14:paraId="6F0CF046" w14:textId="77777777" w:rsidR="003D4CFD" w:rsidRPr="004D70F4" w:rsidRDefault="003D4CFD" w:rsidP="00D978C8">
            <w:pPr>
              <w:pStyle w:val="TableText"/>
              <w:keepNext/>
              <w:jc w:val="center"/>
              <w:rPr>
                <w:b/>
                <w:bCs/>
              </w:rPr>
            </w:pPr>
            <w:r w:rsidRPr="004D70F4">
              <w:rPr>
                <w:b/>
              </w:rPr>
              <w:t>Whole trial population</w:t>
            </w:r>
          </w:p>
        </w:tc>
        <w:tc>
          <w:tcPr>
            <w:tcW w:w="1195" w:type="pct"/>
            <w:gridSpan w:val="2"/>
            <w:vAlign w:val="center"/>
          </w:tcPr>
          <w:p w14:paraId="5E6A8EE9" w14:textId="77777777" w:rsidR="003D4CFD" w:rsidRPr="004D70F4" w:rsidRDefault="003D4CFD" w:rsidP="00D978C8">
            <w:pPr>
              <w:pStyle w:val="TableText"/>
              <w:keepNext/>
              <w:jc w:val="center"/>
              <w:rPr>
                <w:b/>
                <w:bCs/>
              </w:rPr>
            </w:pPr>
            <w:r w:rsidRPr="004D70F4">
              <w:rPr>
                <w:b/>
              </w:rPr>
              <w:t>No prior chemotherapy for mBC</w:t>
            </w:r>
          </w:p>
        </w:tc>
        <w:tc>
          <w:tcPr>
            <w:tcW w:w="1256" w:type="pct"/>
            <w:gridSpan w:val="2"/>
            <w:vAlign w:val="center"/>
          </w:tcPr>
          <w:p w14:paraId="38F9669F" w14:textId="77777777" w:rsidR="003D4CFD" w:rsidRPr="004D70F4" w:rsidRDefault="003D4CFD" w:rsidP="00D978C8">
            <w:pPr>
              <w:pStyle w:val="TableText"/>
              <w:keepNext/>
              <w:jc w:val="center"/>
              <w:rPr>
                <w:b/>
                <w:bCs/>
              </w:rPr>
            </w:pPr>
            <w:r w:rsidRPr="004D70F4">
              <w:rPr>
                <w:b/>
              </w:rPr>
              <w:t>Prior chemotherapy</w:t>
            </w:r>
          </w:p>
        </w:tc>
      </w:tr>
      <w:tr w:rsidR="003D4CFD" w:rsidRPr="004D70F4" w14:paraId="0387B428" w14:textId="77777777" w:rsidTr="003B4249">
        <w:tc>
          <w:tcPr>
            <w:tcW w:w="1283" w:type="pct"/>
            <w:vMerge/>
            <w:vAlign w:val="center"/>
          </w:tcPr>
          <w:p w14:paraId="607D2685" w14:textId="77777777" w:rsidR="003D4CFD" w:rsidRPr="004D70F4" w:rsidRDefault="003D4CFD" w:rsidP="00D978C8">
            <w:pPr>
              <w:pStyle w:val="TableText"/>
              <w:keepNext/>
            </w:pPr>
          </w:p>
        </w:tc>
        <w:tc>
          <w:tcPr>
            <w:tcW w:w="554" w:type="pct"/>
            <w:vAlign w:val="center"/>
          </w:tcPr>
          <w:p w14:paraId="3C3BA0DF" w14:textId="77777777" w:rsidR="003D4CFD" w:rsidRPr="004D70F4" w:rsidRDefault="003D4CFD" w:rsidP="00D978C8">
            <w:pPr>
              <w:pStyle w:val="Tabletext0"/>
              <w:keepNext/>
              <w:jc w:val="center"/>
              <w:rPr>
                <w:b/>
              </w:rPr>
            </w:pPr>
            <w:r w:rsidRPr="004D70F4">
              <w:rPr>
                <w:b/>
              </w:rPr>
              <w:t>Olaparib</w:t>
            </w:r>
          </w:p>
          <w:p w14:paraId="56975BB5" w14:textId="77777777" w:rsidR="003D4CFD" w:rsidRPr="004D70F4" w:rsidRDefault="003D4CFD" w:rsidP="00D978C8">
            <w:pPr>
              <w:pStyle w:val="TableText"/>
              <w:keepNext/>
              <w:jc w:val="center"/>
              <w:rPr>
                <w:b/>
                <w:bCs/>
              </w:rPr>
            </w:pPr>
            <w:r w:rsidRPr="004D70F4">
              <w:rPr>
                <w:b/>
              </w:rPr>
              <w:t>N=205</w:t>
            </w:r>
          </w:p>
        </w:tc>
        <w:tc>
          <w:tcPr>
            <w:tcW w:w="712" w:type="pct"/>
            <w:vAlign w:val="center"/>
          </w:tcPr>
          <w:p w14:paraId="07A620A6" w14:textId="77777777" w:rsidR="003D4CFD" w:rsidRPr="004D70F4" w:rsidRDefault="003D4CFD" w:rsidP="00D978C8">
            <w:pPr>
              <w:pStyle w:val="Tabletext0"/>
              <w:keepNext/>
              <w:jc w:val="center"/>
              <w:rPr>
                <w:b/>
                <w:vertAlign w:val="superscript"/>
              </w:rPr>
            </w:pPr>
            <w:r w:rsidRPr="004D70F4">
              <w:rPr>
                <w:b/>
              </w:rPr>
              <w:t>Chemotherapy</w:t>
            </w:r>
          </w:p>
          <w:p w14:paraId="0B3F3761" w14:textId="77777777" w:rsidR="003D4CFD" w:rsidRPr="004D70F4" w:rsidRDefault="003D4CFD" w:rsidP="00D978C8">
            <w:pPr>
              <w:pStyle w:val="TableText"/>
              <w:keepNext/>
              <w:jc w:val="center"/>
              <w:rPr>
                <w:b/>
                <w:bCs/>
              </w:rPr>
            </w:pPr>
            <w:r w:rsidRPr="004D70F4">
              <w:rPr>
                <w:b/>
              </w:rPr>
              <w:t>N=97</w:t>
            </w:r>
          </w:p>
        </w:tc>
        <w:tc>
          <w:tcPr>
            <w:tcW w:w="513" w:type="pct"/>
            <w:vAlign w:val="center"/>
          </w:tcPr>
          <w:p w14:paraId="133C4B20" w14:textId="77777777" w:rsidR="003D4CFD" w:rsidRPr="004D70F4" w:rsidRDefault="003D4CFD" w:rsidP="00D978C8">
            <w:pPr>
              <w:pStyle w:val="TableText"/>
              <w:keepNext/>
              <w:jc w:val="center"/>
              <w:rPr>
                <w:b/>
                <w:bCs/>
              </w:rPr>
            </w:pPr>
            <w:r w:rsidRPr="004D70F4">
              <w:rPr>
                <w:b/>
              </w:rPr>
              <w:t>Olaparib</w:t>
            </w:r>
          </w:p>
          <w:p w14:paraId="0B1AB7A9" w14:textId="77777777" w:rsidR="003D4CFD" w:rsidRPr="004D70F4" w:rsidRDefault="003D4CFD" w:rsidP="00D978C8">
            <w:pPr>
              <w:pStyle w:val="TableText"/>
              <w:keepNext/>
              <w:jc w:val="center"/>
              <w:rPr>
                <w:b/>
                <w:bCs/>
              </w:rPr>
            </w:pPr>
            <w:r w:rsidRPr="004D70F4">
              <w:rPr>
                <w:b/>
              </w:rPr>
              <w:t>N=59</w:t>
            </w:r>
          </w:p>
        </w:tc>
        <w:tc>
          <w:tcPr>
            <w:tcW w:w="683" w:type="pct"/>
            <w:vAlign w:val="center"/>
          </w:tcPr>
          <w:p w14:paraId="1B04883E" w14:textId="77777777" w:rsidR="003D4CFD" w:rsidRPr="004D70F4" w:rsidRDefault="003D4CFD" w:rsidP="00D978C8">
            <w:pPr>
              <w:pStyle w:val="TableText"/>
              <w:keepNext/>
              <w:jc w:val="center"/>
              <w:rPr>
                <w:b/>
                <w:bCs/>
                <w:vertAlign w:val="superscript"/>
              </w:rPr>
            </w:pPr>
            <w:r w:rsidRPr="004D70F4">
              <w:rPr>
                <w:b/>
              </w:rPr>
              <w:t>Chemotherapy</w:t>
            </w:r>
          </w:p>
          <w:p w14:paraId="17EB6EB2" w14:textId="77777777" w:rsidR="003D4CFD" w:rsidRPr="004D70F4" w:rsidRDefault="003D4CFD" w:rsidP="00D978C8">
            <w:pPr>
              <w:pStyle w:val="TableText"/>
              <w:keepNext/>
              <w:jc w:val="center"/>
              <w:rPr>
                <w:b/>
                <w:bCs/>
              </w:rPr>
            </w:pPr>
            <w:r w:rsidRPr="004D70F4">
              <w:rPr>
                <w:b/>
              </w:rPr>
              <w:t>N=28</w:t>
            </w:r>
          </w:p>
        </w:tc>
        <w:tc>
          <w:tcPr>
            <w:tcW w:w="547" w:type="pct"/>
            <w:vAlign w:val="center"/>
          </w:tcPr>
          <w:p w14:paraId="3E0250AC" w14:textId="77777777" w:rsidR="003D4CFD" w:rsidRPr="004D70F4" w:rsidRDefault="003D4CFD" w:rsidP="00D978C8">
            <w:pPr>
              <w:pStyle w:val="TableText"/>
              <w:keepNext/>
              <w:jc w:val="center"/>
              <w:rPr>
                <w:b/>
                <w:bCs/>
              </w:rPr>
            </w:pPr>
            <w:r w:rsidRPr="004D70F4">
              <w:rPr>
                <w:b/>
              </w:rPr>
              <w:t>Olaparib</w:t>
            </w:r>
          </w:p>
          <w:p w14:paraId="79DD9E30" w14:textId="77777777" w:rsidR="003D4CFD" w:rsidRPr="004D70F4" w:rsidRDefault="003D4CFD" w:rsidP="00D978C8">
            <w:pPr>
              <w:pStyle w:val="TableText"/>
              <w:keepNext/>
              <w:jc w:val="center"/>
              <w:rPr>
                <w:b/>
                <w:bCs/>
              </w:rPr>
            </w:pPr>
            <w:r w:rsidRPr="004D70F4">
              <w:rPr>
                <w:b/>
              </w:rPr>
              <w:t>N=146</w:t>
            </w:r>
          </w:p>
        </w:tc>
        <w:tc>
          <w:tcPr>
            <w:tcW w:w="709" w:type="pct"/>
            <w:vAlign w:val="center"/>
          </w:tcPr>
          <w:p w14:paraId="460A911F" w14:textId="77777777" w:rsidR="003D4CFD" w:rsidRPr="004D70F4" w:rsidRDefault="003D4CFD" w:rsidP="00D978C8">
            <w:pPr>
              <w:pStyle w:val="TableText"/>
              <w:keepNext/>
              <w:jc w:val="center"/>
              <w:rPr>
                <w:b/>
                <w:bCs/>
                <w:vertAlign w:val="superscript"/>
              </w:rPr>
            </w:pPr>
            <w:r w:rsidRPr="004D70F4">
              <w:rPr>
                <w:b/>
              </w:rPr>
              <w:t>Chemotherapy</w:t>
            </w:r>
          </w:p>
          <w:p w14:paraId="1E6E2B81" w14:textId="77777777" w:rsidR="003D4CFD" w:rsidRPr="004D70F4" w:rsidRDefault="003D4CFD" w:rsidP="00D978C8">
            <w:pPr>
              <w:pStyle w:val="TableText"/>
              <w:keepNext/>
              <w:jc w:val="center"/>
              <w:rPr>
                <w:b/>
                <w:bCs/>
              </w:rPr>
            </w:pPr>
            <w:r w:rsidRPr="004D70F4">
              <w:rPr>
                <w:b/>
              </w:rPr>
              <w:t>N=69</w:t>
            </w:r>
          </w:p>
        </w:tc>
      </w:tr>
      <w:tr w:rsidR="003D4CFD" w:rsidRPr="004D70F4" w14:paraId="1E7CA0CF" w14:textId="77777777" w:rsidTr="003B4249">
        <w:tc>
          <w:tcPr>
            <w:tcW w:w="1283" w:type="pct"/>
            <w:vAlign w:val="center"/>
            <w:hideMark/>
          </w:tcPr>
          <w:p w14:paraId="0817102B" w14:textId="77777777" w:rsidR="003D4CFD" w:rsidRPr="004D70F4" w:rsidRDefault="003D4CFD" w:rsidP="00D978C8">
            <w:pPr>
              <w:pStyle w:val="TableText"/>
              <w:keepNext/>
            </w:pPr>
            <w:r w:rsidRPr="004D70F4">
              <w:t>Number (%) of patients who had not died or progressed</w:t>
            </w:r>
            <w:r>
              <w:t xml:space="preserve"> </w:t>
            </w:r>
            <w:r w:rsidRPr="004D70F4">
              <w:rPr>
                <w:vertAlign w:val="superscript"/>
              </w:rPr>
              <w:t>a</w:t>
            </w:r>
          </w:p>
        </w:tc>
        <w:tc>
          <w:tcPr>
            <w:tcW w:w="554" w:type="pct"/>
            <w:vAlign w:val="center"/>
          </w:tcPr>
          <w:p w14:paraId="77D3E67C" w14:textId="77777777" w:rsidR="003D4CFD" w:rsidRPr="004D70F4" w:rsidRDefault="003D4CFD" w:rsidP="00D978C8">
            <w:pPr>
              <w:pStyle w:val="TableText"/>
              <w:keepNext/>
              <w:jc w:val="center"/>
            </w:pPr>
            <w:r w:rsidRPr="004D70F4">
              <w:t>163 (79.5)</w:t>
            </w:r>
          </w:p>
        </w:tc>
        <w:tc>
          <w:tcPr>
            <w:tcW w:w="712" w:type="pct"/>
            <w:vAlign w:val="center"/>
          </w:tcPr>
          <w:p w14:paraId="173E0AFA" w14:textId="77777777" w:rsidR="003D4CFD" w:rsidRPr="004D70F4" w:rsidRDefault="003D4CFD" w:rsidP="00D978C8">
            <w:pPr>
              <w:pStyle w:val="TableText"/>
              <w:keepNext/>
              <w:jc w:val="center"/>
            </w:pPr>
            <w:r w:rsidRPr="004D70F4">
              <w:t>71 (73.2)</w:t>
            </w:r>
          </w:p>
        </w:tc>
        <w:tc>
          <w:tcPr>
            <w:tcW w:w="513" w:type="pct"/>
            <w:vAlign w:val="center"/>
            <w:hideMark/>
          </w:tcPr>
          <w:p w14:paraId="4237C9E6" w14:textId="77777777" w:rsidR="003D4CFD" w:rsidRPr="004D70F4" w:rsidRDefault="003D4CFD" w:rsidP="00D978C8">
            <w:pPr>
              <w:pStyle w:val="TableText"/>
              <w:keepNext/>
              <w:jc w:val="center"/>
            </w:pPr>
            <w:r w:rsidRPr="004D70F4">
              <w:t>44 (74.6)</w:t>
            </w:r>
          </w:p>
        </w:tc>
        <w:tc>
          <w:tcPr>
            <w:tcW w:w="683" w:type="pct"/>
            <w:vAlign w:val="center"/>
            <w:hideMark/>
          </w:tcPr>
          <w:p w14:paraId="7149556B" w14:textId="77777777" w:rsidR="003D4CFD" w:rsidRPr="004D70F4" w:rsidRDefault="003D4CFD" w:rsidP="00D978C8">
            <w:pPr>
              <w:pStyle w:val="TableText"/>
              <w:keepNext/>
              <w:jc w:val="center"/>
            </w:pPr>
            <w:r w:rsidRPr="004D70F4">
              <w:t>20 (71.4)</w:t>
            </w:r>
          </w:p>
        </w:tc>
        <w:tc>
          <w:tcPr>
            <w:tcW w:w="547" w:type="pct"/>
            <w:vAlign w:val="center"/>
          </w:tcPr>
          <w:p w14:paraId="255ED40C" w14:textId="77777777" w:rsidR="003D4CFD" w:rsidRPr="004D70F4" w:rsidRDefault="003D4CFD" w:rsidP="00D978C8">
            <w:pPr>
              <w:pStyle w:val="TableText"/>
              <w:keepNext/>
              <w:jc w:val="center"/>
            </w:pPr>
            <w:r w:rsidRPr="004D70F4">
              <w:t>119 (81.5)</w:t>
            </w:r>
          </w:p>
        </w:tc>
        <w:tc>
          <w:tcPr>
            <w:tcW w:w="709" w:type="pct"/>
            <w:vAlign w:val="center"/>
          </w:tcPr>
          <w:p w14:paraId="41F992AC" w14:textId="77777777" w:rsidR="003D4CFD" w:rsidRPr="004D70F4" w:rsidRDefault="003D4CFD" w:rsidP="00D978C8">
            <w:pPr>
              <w:pStyle w:val="TableText"/>
              <w:keepNext/>
              <w:jc w:val="center"/>
            </w:pPr>
            <w:r w:rsidRPr="004D70F4">
              <w:t>51 (73.9)</w:t>
            </w:r>
          </w:p>
        </w:tc>
      </w:tr>
      <w:tr w:rsidR="003D4CFD" w:rsidRPr="004D70F4" w14:paraId="108966BB" w14:textId="77777777" w:rsidTr="003B4249">
        <w:tc>
          <w:tcPr>
            <w:tcW w:w="1283" w:type="pct"/>
            <w:vAlign w:val="center"/>
          </w:tcPr>
          <w:p w14:paraId="2E31F440" w14:textId="77777777" w:rsidR="003D4CFD" w:rsidRPr="004D70F4" w:rsidRDefault="003D4CFD" w:rsidP="00D978C8">
            <w:pPr>
              <w:pStyle w:val="TableText"/>
              <w:keepNext/>
            </w:pPr>
            <w:r w:rsidRPr="004D70F4">
              <w:t>HR (95% CI)</w:t>
            </w:r>
            <w:r w:rsidRPr="004D70F4">
              <w:rPr>
                <w:vertAlign w:val="superscript"/>
              </w:rPr>
              <w:t>b</w:t>
            </w:r>
          </w:p>
        </w:tc>
        <w:tc>
          <w:tcPr>
            <w:tcW w:w="1266" w:type="pct"/>
            <w:gridSpan w:val="2"/>
            <w:vAlign w:val="center"/>
          </w:tcPr>
          <w:p w14:paraId="4D7406ED" w14:textId="77777777" w:rsidR="003D4CFD" w:rsidRPr="001854B2" w:rsidRDefault="003D4CFD" w:rsidP="00D978C8">
            <w:pPr>
              <w:pStyle w:val="TableText"/>
              <w:keepNext/>
              <w:jc w:val="center"/>
            </w:pPr>
            <w:r w:rsidRPr="001854B2">
              <w:rPr>
                <w:b/>
              </w:rPr>
              <w:t>0.58 (0.43, 0.80)</w:t>
            </w:r>
          </w:p>
        </w:tc>
        <w:tc>
          <w:tcPr>
            <w:tcW w:w="1195" w:type="pct"/>
            <w:gridSpan w:val="2"/>
            <w:vAlign w:val="center"/>
          </w:tcPr>
          <w:p w14:paraId="773A9D78" w14:textId="77777777" w:rsidR="003D4CFD" w:rsidRPr="001854B2" w:rsidRDefault="003D4CFD" w:rsidP="00D978C8">
            <w:pPr>
              <w:pStyle w:val="TableText"/>
              <w:keepNext/>
              <w:jc w:val="center"/>
            </w:pPr>
            <w:r w:rsidRPr="001854B2">
              <w:t>0.56 (0.34, 0.98)</w:t>
            </w:r>
          </w:p>
        </w:tc>
        <w:tc>
          <w:tcPr>
            <w:tcW w:w="1256" w:type="pct"/>
            <w:gridSpan w:val="2"/>
            <w:vAlign w:val="center"/>
          </w:tcPr>
          <w:p w14:paraId="1EB7E999" w14:textId="77777777" w:rsidR="003D4CFD" w:rsidRPr="004D70F4" w:rsidRDefault="003D4CFD" w:rsidP="00D978C8">
            <w:pPr>
              <w:pStyle w:val="TableText"/>
              <w:keepNext/>
              <w:jc w:val="center"/>
            </w:pPr>
            <w:r w:rsidRPr="004D70F4">
              <w:t>0.65 (0.47, 0.91)</w:t>
            </w:r>
          </w:p>
        </w:tc>
      </w:tr>
      <w:tr w:rsidR="003D4CFD" w:rsidRPr="004D70F4" w14:paraId="3AB2E463" w14:textId="77777777" w:rsidTr="003B4249">
        <w:tc>
          <w:tcPr>
            <w:tcW w:w="1283" w:type="pct"/>
            <w:vAlign w:val="center"/>
          </w:tcPr>
          <w:p w14:paraId="0236C6BD" w14:textId="77777777" w:rsidR="003D4CFD" w:rsidRPr="004D70F4" w:rsidRDefault="003D4CFD" w:rsidP="00D978C8">
            <w:pPr>
              <w:pStyle w:val="TableText"/>
              <w:keepNext/>
            </w:pPr>
            <w:r w:rsidRPr="004D70F4">
              <w:t>p</w:t>
            </w:r>
            <w:r w:rsidRPr="004D70F4">
              <w:noBreakHyphen/>
              <w:t xml:space="preserve">value </w:t>
            </w:r>
          </w:p>
        </w:tc>
        <w:tc>
          <w:tcPr>
            <w:tcW w:w="1266" w:type="pct"/>
            <w:gridSpan w:val="2"/>
            <w:vAlign w:val="center"/>
          </w:tcPr>
          <w:p w14:paraId="0A72F9FC" w14:textId="77777777" w:rsidR="003D4CFD" w:rsidRPr="004D70F4" w:rsidRDefault="003D4CFD" w:rsidP="00D978C8">
            <w:pPr>
              <w:pStyle w:val="TableText"/>
              <w:keepNext/>
              <w:jc w:val="center"/>
            </w:pPr>
            <w:r w:rsidRPr="004D70F4">
              <w:t>0.0009</w:t>
            </w:r>
          </w:p>
        </w:tc>
        <w:tc>
          <w:tcPr>
            <w:tcW w:w="1195" w:type="pct"/>
            <w:gridSpan w:val="2"/>
            <w:vAlign w:val="center"/>
          </w:tcPr>
          <w:p w14:paraId="77ECEA4C" w14:textId="77777777" w:rsidR="003D4CFD" w:rsidRPr="004D70F4" w:rsidRDefault="003D4CFD" w:rsidP="00D978C8">
            <w:pPr>
              <w:pStyle w:val="TableText"/>
              <w:keepNext/>
              <w:jc w:val="center"/>
            </w:pPr>
            <w:r w:rsidRPr="004D70F4">
              <w:t>NR</w:t>
            </w:r>
          </w:p>
        </w:tc>
        <w:tc>
          <w:tcPr>
            <w:tcW w:w="1256" w:type="pct"/>
            <w:gridSpan w:val="2"/>
            <w:vAlign w:val="center"/>
          </w:tcPr>
          <w:p w14:paraId="56E56DD2" w14:textId="77777777" w:rsidR="003D4CFD" w:rsidRPr="004D70F4" w:rsidRDefault="003D4CFD" w:rsidP="00D978C8">
            <w:pPr>
              <w:pStyle w:val="TableText"/>
              <w:keepNext/>
              <w:jc w:val="center"/>
            </w:pPr>
            <w:r w:rsidRPr="004D70F4">
              <w:t>NR</w:t>
            </w:r>
          </w:p>
        </w:tc>
      </w:tr>
      <w:tr w:rsidR="003D4CFD" w:rsidRPr="004D70F4" w14:paraId="29396E05" w14:textId="77777777" w:rsidTr="003B4249">
        <w:tc>
          <w:tcPr>
            <w:tcW w:w="1283" w:type="pct"/>
            <w:vAlign w:val="center"/>
            <w:hideMark/>
          </w:tcPr>
          <w:p w14:paraId="7BF06E4C" w14:textId="77777777" w:rsidR="003D4CFD" w:rsidRPr="004D70F4" w:rsidRDefault="003D4CFD" w:rsidP="00D978C8">
            <w:pPr>
              <w:pStyle w:val="TableText"/>
              <w:keepNext/>
            </w:pPr>
            <w:r w:rsidRPr="004D70F4">
              <w:t>Median PFS (95% CI), months</w:t>
            </w:r>
            <w:r>
              <w:t xml:space="preserve"> </w:t>
            </w:r>
            <w:r w:rsidRPr="004D70F4">
              <w:rPr>
                <w:vertAlign w:val="superscript"/>
              </w:rPr>
              <w:t>c</w:t>
            </w:r>
          </w:p>
        </w:tc>
        <w:tc>
          <w:tcPr>
            <w:tcW w:w="554" w:type="pct"/>
            <w:vAlign w:val="center"/>
          </w:tcPr>
          <w:p w14:paraId="51C44CA0" w14:textId="77777777" w:rsidR="003D4CFD" w:rsidRPr="004D70F4" w:rsidRDefault="003D4CFD" w:rsidP="00D978C8">
            <w:pPr>
              <w:pStyle w:val="TableText"/>
              <w:keepNext/>
              <w:jc w:val="center"/>
            </w:pPr>
            <w:r w:rsidRPr="004D70F4">
              <w:t>7.03</w:t>
            </w:r>
          </w:p>
          <w:p w14:paraId="72BC6911" w14:textId="77777777" w:rsidR="003D4CFD" w:rsidRPr="004D70F4" w:rsidRDefault="003D4CFD" w:rsidP="00D978C8">
            <w:pPr>
              <w:pStyle w:val="TableText"/>
              <w:keepNext/>
              <w:jc w:val="center"/>
            </w:pPr>
            <w:r w:rsidRPr="004D70F4">
              <w:t>(5.68, 8.31)</w:t>
            </w:r>
          </w:p>
        </w:tc>
        <w:tc>
          <w:tcPr>
            <w:tcW w:w="712" w:type="pct"/>
            <w:vAlign w:val="center"/>
          </w:tcPr>
          <w:p w14:paraId="4117B44D" w14:textId="77777777" w:rsidR="003D4CFD" w:rsidRPr="004D70F4" w:rsidRDefault="003D4CFD" w:rsidP="00D978C8">
            <w:pPr>
              <w:pStyle w:val="TableText"/>
              <w:keepNext/>
              <w:jc w:val="center"/>
            </w:pPr>
            <w:r w:rsidRPr="004D70F4">
              <w:t>4.17</w:t>
            </w:r>
          </w:p>
          <w:p w14:paraId="456CC2DE" w14:textId="77777777" w:rsidR="003D4CFD" w:rsidRPr="004D70F4" w:rsidRDefault="003D4CFD" w:rsidP="00D978C8">
            <w:pPr>
              <w:pStyle w:val="TableText"/>
              <w:keepNext/>
              <w:jc w:val="center"/>
            </w:pPr>
            <w:r w:rsidRPr="004D70F4">
              <w:t>(2.79, 4.27)</w:t>
            </w:r>
          </w:p>
        </w:tc>
        <w:tc>
          <w:tcPr>
            <w:tcW w:w="513" w:type="pct"/>
            <w:vAlign w:val="center"/>
            <w:hideMark/>
          </w:tcPr>
          <w:p w14:paraId="787C90C4" w14:textId="77777777" w:rsidR="003D4CFD" w:rsidRPr="004D70F4" w:rsidRDefault="003D4CFD" w:rsidP="00D978C8">
            <w:pPr>
              <w:pStyle w:val="TableText"/>
              <w:keepNext/>
              <w:jc w:val="center"/>
            </w:pPr>
            <w:r w:rsidRPr="004D70F4">
              <w:t>7.66</w:t>
            </w:r>
          </w:p>
          <w:p w14:paraId="5DCAB267" w14:textId="77777777" w:rsidR="003D4CFD" w:rsidRPr="004D70F4" w:rsidRDefault="003D4CFD" w:rsidP="00D978C8">
            <w:pPr>
              <w:pStyle w:val="TableText"/>
              <w:keepNext/>
              <w:jc w:val="center"/>
            </w:pPr>
            <w:r w:rsidRPr="004D70F4">
              <w:t>(5.45, 8.51)</w:t>
            </w:r>
          </w:p>
        </w:tc>
        <w:tc>
          <w:tcPr>
            <w:tcW w:w="683" w:type="pct"/>
            <w:vAlign w:val="center"/>
            <w:hideMark/>
          </w:tcPr>
          <w:p w14:paraId="442AF55B" w14:textId="77777777" w:rsidR="003D4CFD" w:rsidRPr="004D70F4" w:rsidRDefault="003D4CFD" w:rsidP="00D978C8">
            <w:pPr>
              <w:pStyle w:val="TableText"/>
              <w:keepNext/>
              <w:jc w:val="center"/>
            </w:pPr>
            <w:r w:rsidRPr="004D70F4">
              <w:t>3.88</w:t>
            </w:r>
          </w:p>
          <w:p w14:paraId="3F137907" w14:textId="77777777" w:rsidR="003D4CFD" w:rsidRPr="004D70F4" w:rsidRDefault="003D4CFD" w:rsidP="00D978C8">
            <w:pPr>
              <w:pStyle w:val="TableText"/>
              <w:keepNext/>
              <w:jc w:val="center"/>
            </w:pPr>
            <w:r w:rsidRPr="004D70F4">
              <w:t>(1.41, 7.95)</w:t>
            </w:r>
          </w:p>
        </w:tc>
        <w:tc>
          <w:tcPr>
            <w:tcW w:w="547" w:type="pct"/>
            <w:vAlign w:val="center"/>
          </w:tcPr>
          <w:p w14:paraId="6916DAA1" w14:textId="77777777" w:rsidR="003D4CFD" w:rsidRPr="004D70F4" w:rsidRDefault="003D4CFD" w:rsidP="00D978C8">
            <w:pPr>
              <w:pStyle w:val="TableText"/>
              <w:keepNext/>
              <w:jc w:val="center"/>
            </w:pPr>
            <w:r w:rsidRPr="004D70F4">
              <w:t>7.03</w:t>
            </w:r>
          </w:p>
          <w:p w14:paraId="2CCE5191" w14:textId="77777777" w:rsidR="003D4CFD" w:rsidRPr="004D70F4" w:rsidRDefault="003D4CFD" w:rsidP="00D978C8">
            <w:pPr>
              <w:pStyle w:val="TableText"/>
              <w:keepNext/>
              <w:jc w:val="center"/>
            </w:pPr>
            <w:r w:rsidRPr="004D70F4">
              <w:t>(5.55, 8.31)</w:t>
            </w:r>
          </w:p>
        </w:tc>
        <w:tc>
          <w:tcPr>
            <w:tcW w:w="709" w:type="pct"/>
            <w:vAlign w:val="center"/>
          </w:tcPr>
          <w:p w14:paraId="021C03EB" w14:textId="77777777" w:rsidR="003D4CFD" w:rsidRPr="004D70F4" w:rsidRDefault="003D4CFD" w:rsidP="00D978C8">
            <w:pPr>
              <w:pStyle w:val="TableText"/>
              <w:keepNext/>
              <w:jc w:val="center"/>
            </w:pPr>
            <w:r w:rsidRPr="004D70F4">
              <w:t>4.17</w:t>
            </w:r>
          </w:p>
          <w:p w14:paraId="07CEF27E" w14:textId="77777777" w:rsidR="003D4CFD" w:rsidRPr="004D70F4" w:rsidRDefault="003D4CFD" w:rsidP="00D978C8">
            <w:pPr>
              <w:pStyle w:val="TableText"/>
              <w:keepNext/>
              <w:jc w:val="center"/>
            </w:pPr>
            <w:r w:rsidRPr="004D70F4">
              <w:t>(2.76, 4.63)</w:t>
            </w:r>
          </w:p>
        </w:tc>
      </w:tr>
      <w:tr w:rsidR="003D4CFD" w:rsidRPr="004D70F4" w14:paraId="5522CC18" w14:textId="77777777" w:rsidTr="003B4249">
        <w:tc>
          <w:tcPr>
            <w:tcW w:w="1283" w:type="pct"/>
            <w:vAlign w:val="center"/>
          </w:tcPr>
          <w:p w14:paraId="1B3E80AA" w14:textId="77777777" w:rsidR="003D4CFD" w:rsidRPr="004D70F4" w:rsidRDefault="003D4CFD" w:rsidP="00D978C8">
            <w:pPr>
              <w:pStyle w:val="TableText"/>
              <w:keepNext/>
            </w:pPr>
            <w:r w:rsidRPr="004D70F4">
              <w:t>Progression-free at 6 months, %</w:t>
            </w:r>
          </w:p>
        </w:tc>
        <w:tc>
          <w:tcPr>
            <w:tcW w:w="554" w:type="pct"/>
            <w:vAlign w:val="center"/>
          </w:tcPr>
          <w:p w14:paraId="47DAAF98" w14:textId="77777777" w:rsidR="003D4CFD" w:rsidRPr="004D70F4" w:rsidRDefault="003D4CFD" w:rsidP="00D978C8">
            <w:pPr>
              <w:pStyle w:val="TableText"/>
              <w:keepNext/>
              <w:jc w:val="center"/>
            </w:pPr>
            <w:r w:rsidRPr="004D70F4">
              <w:t>54.1</w:t>
            </w:r>
          </w:p>
        </w:tc>
        <w:tc>
          <w:tcPr>
            <w:tcW w:w="712" w:type="pct"/>
            <w:vAlign w:val="center"/>
          </w:tcPr>
          <w:p w14:paraId="2B8F3466" w14:textId="77777777" w:rsidR="003D4CFD" w:rsidRPr="004D70F4" w:rsidRDefault="003D4CFD" w:rsidP="00D978C8">
            <w:pPr>
              <w:pStyle w:val="TableText"/>
              <w:keepNext/>
              <w:jc w:val="center"/>
            </w:pPr>
            <w:r w:rsidRPr="004D70F4">
              <w:t>32.9</w:t>
            </w:r>
          </w:p>
        </w:tc>
        <w:tc>
          <w:tcPr>
            <w:tcW w:w="2452" w:type="pct"/>
            <w:gridSpan w:val="4"/>
            <w:vAlign w:val="center"/>
          </w:tcPr>
          <w:p w14:paraId="2FD9E494" w14:textId="77777777" w:rsidR="003D4CFD" w:rsidRPr="004D70F4" w:rsidRDefault="003D4CFD" w:rsidP="00D978C8">
            <w:pPr>
              <w:pStyle w:val="TableText"/>
              <w:keepNext/>
              <w:jc w:val="center"/>
            </w:pPr>
            <w:r w:rsidRPr="004D70F4">
              <w:t>NR</w:t>
            </w:r>
          </w:p>
        </w:tc>
      </w:tr>
      <w:tr w:rsidR="003D4CFD" w:rsidRPr="004D70F4" w14:paraId="5B90FDDE" w14:textId="77777777" w:rsidTr="003B4249">
        <w:tc>
          <w:tcPr>
            <w:tcW w:w="1283" w:type="pct"/>
            <w:vAlign w:val="center"/>
          </w:tcPr>
          <w:p w14:paraId="32FC95C1" w14:textId="77777777" w:rsidR="003D4CFD" w:rsidRPr="004D70F4" w:rsidRDefault="003D4CFD" w:rsidP="00D978C8">
            <w:pPr>
              <w:pStyle w:val="TableText"/>
              <w:keepNext/>
            </w:pPr>
            <w:r w:rsidRPr="004D70F4">
              <w:t>Progression-free at 12 months, %</w:t>
            </w:r>
          </w:p>
        </w:tc>
        <w:tc>
          <w:tcPr>
            <w:tcW w:w="554" w:type="pct"/>
            <w:vAlign w:val="center"/>
          </w:tcPr>
          <w:p w14:paraId="1F09C935" w14:textId="77777777" w:rsidR="003D4CFD" w:rsidRPr="004D70F4" w:rsidRDefault="003D4CFD" w:rsidP="00D978C8">
            <w:pPr>
              <w:pStyle w:val="TableText"/>
              <w:keepNext/>
              <w:jc w:val="center"/>
            </w:pPr>
            <w:r w:rsidRPr="004D70F4">
              <w:t>25.9</w:t>
            </w:r>
          </w:p>
        </w:tc>
        <w:tc>
          <w:tcPr>
            <w:tcW w:w="712" w:type="pct"/>
            <w:vAlign w:val="center"/>
          </w:tcPr>
          <w:p w14:paraId="5578C3A7" w14:textId="77777777" w:rsidR="003D4CFD" w:rsidRPr="004D70F4" w:rsidRDefault="003D4CFD" w:rsidP="00D978C8">
            <w:pPr>
              <w:pStyle w:val="TableText"/>
              <w:keepNext/>
              <w:jc w:val="center"/>
            </w:pPr>
            <w:r w:rsidRPr="004D70F4">
              <w:t>15.0</w:t>
            </w:r>
          </w:p>
        </w:tc>
        <w:tc>
          <w:tcPr>
            <w:tcW w:w="2452" w:type="pct"/>
            <w:gridSpan w:val="4"/>
            <w:vAlign w:val="center"/>
          </w:tcPr>
          <w:p w14:paraId="14F6CFDD" w14:textId="77777777" w:rsidR="003D4CFD" w:rsidRPr="004D70F4" w:rsidRDefault="003D4CFD" w:rsidP="00D978C8">
            <w:pPr>
              <w:pStyle w:val="TableText"/>
              <w:keepNext/>
              <w:jc w:val="center"/>
            </w:pPr>
            <w:r w:rsidRPr="004D70F4">
              <w:t>NR</w:t>
            </w:r>
          </w:p>
        </w:tc>
      </w:tr>
      <w:tr w:rsidR="003D4CFD" w:rsidRPr="004D70F4" w14:paraId="63ABB5A9" w14:textId="77777777" w:rsidTr="003B4249">
        <w:tc>
          <w:tcPr>
            <w:tcW w:w="1283" w:type="pct"/>
            <w:vAlign w:val="center"/>
          </w:tcPr>
          <w:p w14:paraId="64680A68" w14:textId="77777777" w:rsidR="003D4CFD" w:rsidRPr="004D70F4" w:rsidRDefault="003D4CFD" w:rsidP="00D978C8">
            <w:pPr>
              <w:pStyle w:val="TableText"/>
              <w:keepNext/>
              <w:rPr>
                <w:vertAlign w:val="superscript"/>
              </w:rPr>
            </w:pPr>
            <w:r w:rsidRPr="004D70F4">
              <w:t>Median time to censoring, months</w:t>
            </w:r>
            <w:r>
              <w:t xml:space="preserve"> </w:t>
            </w:r>
            <w:r w:rsidRPr="004D70F4">
              <w:rPr>
                <w:vertAlign w:val="superscript"/>
              </w:rPr>
              <w:t>d</w:t>
            </w:r>
          </w:p>
        </w:tc>
        <w:tc>
          <w:tcPr>
            <w:tcW w:w="554" w:type="pct"/>
            <w:vAlign w:val="center"/>
          </w:tcPr>
          <w:p w14:paraId="0664330B" w14:textId="77777777" w:rsidR="003D4CFD" w:rsidRPr="004D70F4" w:rsidRDefault="003D4CFD" w:rsidP="00D978C8">
            <w:pPr>
              <w:pStyle w:val="TableText"/>
              <w:keepNext/>
              <w:jc w:val="center"/>
            </w:pPr>
            <w:r w:rsidRPr="004D70F4">
              <w:t>13.62</w:t>
            </w:r>
          </w:p>
        </w:tc>
        <w:tc>
          <w:tcPr>
            <w:tcW w:w="712" w:type="pct"/>
            <w:vAlign w:val="center"/>
          </w:tcPr>
          <w:p w14:paraId="4D06D8C1" w14:textId="77777777" w:rsidR="003D4CFD" w:rsidRPr="004D70F4" w:rsidRDefault="003D4CFD" w:rsidP="00D978C8">
            <w:pPr>
              <w:pStyle w:val="TableText"/>
              <w:keepNext/>
              <w:jc w:val="center"/>
            </w:pPr>
            <w:r w:rsidRPr="004D70F4">
              <w:t>4.29</w:t>
            </w:r>
          </w:p>
        </w:tc>
        <w:tc>
          <w:tcPr>
            <w:tcW w:w="513" w:type="pct"/>
            <w:vAlign w:val="center"/>
          </w:tcPr>
          <w:p w14:paraId="1AB640F4" w14:textId="77777777" w:rsidR="003D4CFD" w:rsidRPr="004D70F4" w:rsidRDefault="003D4CFD" w:rsidP="00D978C8">
            <w:pPr>
              <w:pStyle w:val="TableText"/>
              <w:keepNext/>
              <w:jc w:val="center"/>
            </w:pPr>
            <w:r w:rsidRPr="004D70F4">
              <w:t>13.70</w:t>
            </w:r>
          </w:p>
        </w:tc>
        <w:tc>
          <w:tcPr>
            <w:tcW w:w="683" w:type="pct"/>
            <w:vAlign w:val="center"/>
          </w:tcPr>
          <w:p w14:paraId="5CE68623" w14:textId="77777777" w:rsidR="003D4CFD" w:rsidRPr="004D70F4" w:rsidRDefault="003D4CFD" w:rsidP="00D978C8">
            <w:pPr>
              <w:pStyle w:val="TableText"/>
              <w:keepNext/>
              <w:jc w:val="center"/>
            </w:pPr>
            <w:r w:rsidRPr="004D70F4">
              <w:t>6.32</w:t>
            </w:r>
          </w:p>
        </w:tc>
        <w:tc>
          <w:tcPr>
            <w:tcW w:w="547" w:type="pct"/>
            <w:vAlign w:val="center"/>
          </w:tcPr>
          <w:p w14:paraId="12B4E115" w14:textId="77777777" w:rsidR="003D4CFD" w:rsidRPr="004D70F4" w:rsidRDefault="003D4CFD" w:rsidP="00D978C8">
            <w:pPr>
              <w:pStyle w:val="TableText"/>
              <w:keepNext/>
              <w:jc w:val="center"/>
            </w:pPr>
            <w:r w:rsidRPr="004D70F4">
              <w:t>11.79</w:t>
            </w:r>
          </w:p>
        </w:tc>
        <w:tc>
          <w:tcPr>
            <w:tcW w:w="709" w:type="pct"/>
            <w:vAlign w:val="center"/>
          </w:tcPr>
          <w:p w14:paraId="402B997A" w14:textId="77777777" w:rsidR="003D4CFD" w:rsidRPr="004D70F4" w:rsidRDefault="003D4CFD" w:rsidP="00D978C8">
            <w:pPr>
              <w:pStyle w:val="TableText"/>
              <w:keepNext/>
              <w:jc w:val="center"/>
            </w:pPr>
            <w:r w:rsidRPr="004D70F4">
              <w:t>3.43</w:t>
            </w:r>
          </w:p>
        </w:tc>
      </w:tr>
    </w:tbl>
    <w:p w14:paraId="4D64F427" w14:textId="15EB1C61" w:rsidR="003D4CFD" w:rsidRPr="004D70F4" w:rsidRDefault="003D4CFD" w:rsidP="00D978C8">
      <w:pPr>
        <w:pStyle w:val="FooterTableFigure"/>
        <w:keepNext/>
      </w:pPr>
      <w:r w:rsidRPr="004D70F4">
        <w:t xml:space="preserve">Source: Table 2.15, p67 of the submission and Table 2.32, p91 of the submission. </w:t>
      </w:r>
    </w:p>
    <w:p w14:paraId="34F75B41" w14:textId="77777777" w:rsidR="003D4CFD" w:rsidRDefault="003D4CFD" w:rsidP="00D978C8">
      <w:pPr>
        <w:pStyle w:val="FooterTableFigure"/>
        <w:keepNext/>
      </w:pPr>
      <w:r w:rsidRPr="004D70F4">
        <w:t>Abbreviations: CI = confidence interval; DCO = data cut-off; HR = hazard ratio; NR = not reported; PFS = progression-free survival</w:t>
      </w:r>
    </w:p>
    <w:p w14:paraId="10749359" w14:textId="2D341AE7" w:rsidR="003D4CFD" w:rsidRPr="004D70F4" w:rsidRDefault="00BF3C79" w:rsidP="00D978C8">
      <w:pPr>
        <w:pStyle w:val="FooterTableFigure"/>
        <w:keepNext/>
      </w:pPr>
      <w:r>
        <w:t xml:space="preserve">Data </w:t>
      </w:r>
      <w:r w:rsidR="003D4CFD">
        <w:t xml:space="preserve">in </w:t>
      </w:r>
      <w:r w:rsidR="003D4CFD" w:rsidRPr="003B4249">
        <w:rPr>
          <w:b/>
          <w:bCs/>
        </w:rPr>
        <w:t>bold</w:t>
      </w:r>
      <w:r w:rsidR="003D4CFD">
        <w:t xml:space="preserve"> indicate statistically significant difference</w:t>
      </w:r>
      <w:r w:rsidR="003D4CFD" w:rsidRPr="000C7C96">
        <w:t>. Statistical significance could not be claimed in subgroups as not part of sequential hypothesis testing.</w:t>
      </w:r>
      <w:r w:rsidR="003D4CFD">
        <w:t xml:space="preserve"> </w:t>
      </w:r>
    </w:p>
    <w:p w14:paraId="634582CA" w14:textId="77777777" w:rsidR="003D4CFD" w:rsidRPr="004D70F4" w:rsidRDefault="003D4CFD" w:rsidP="00D978C8">
      <w:pPr>
        <w:pStyle w:val="FooterTableFigure"/>
        <w:keepNext/>
      </w:pPr>
      <w:r w:rsidRPr="004D70F4">
        <w:t xml:space="preserve">a Based on independent central review of radiological scans. Patients who had not progressed or died at the time of analysis, or who progressed or died after 2 or more missed visits, were censored at the latest evaluable RECIST assessment, or Day 1 if the patient had no evaluable visits or no baseline assessment (unless they died within 2 visits of baseline). </w:t>
      </w:r>
    </w:p>
    <w:p w14:paraId="7CB767D4" w14:textId="602160AF" w:rsidR="003D4CFD" w:rsidRPr="004D70F4" w:rsidRDefault="006F2B8E" w:rsidP="00D978C8">
      <w:pPr>
        <w:pStyle w:val="FooterTableFigure"/>
        <w:keepNext/>
      </w:pPr>
      <w:r>
        <w:t>b</w:t>
      </w:r>
      <w:r w:rsidRPr="004D70F4">
        <w:t xml:space="preserve"> </w:t>
      </w:r>
      <w:r w:rsidR="003D4CFD" w:rsidRPr="004D70F4">
        <w:t xml:space="preserve">A hazard ratio &lt;1 favours </w:t>
      </w:r>
      <w:r w:rsidR="009B2212">
        <w:t>o</w:t>
      </w:r>
      <w:r w:rsidR="003D4CFD" w:rsidRPr="004D70F4">
        <w:t>laparib 300 mg bd. The CI was calculated using a profile likelihood approach.</w:t>
      </w:r>
    </w:p>
    <w:p w14:paraId="2317382A" w14:textId="7B870817" w:rsidR="003D4CFD" w:rsidRPr="004D70F4" w:rsidRDefault="006F2B8E" w:rsidP="00D978C8">
      <w:pPr>
        <w:pStyle w:val="FooterTableFigure"/>
        <w:keepNext/>
      </w:pPr>
      <w:r>
        <w:t>c</w:t>
      </w:r>
      <w:r w:rsidRPr="004D70F4">
        <w:t xml:space="preserve"> </w:t>
      </w:r>
      <w:r w:rsidR="003D4CFD" w:rsidRPr="004D70F4">
        <w:t>Calculated using the Kaplan-Meier technique</w:t>
      </w:r>
    </w:p>
    <w:p w14:paraId="0106F3B0" w14:textId="5E529A4E" w:rsidR="003D4CFD" w:rsidRDefault="003D4CFD" w:rsidP="00D978C8">
      <w:pPr>
        <w:pStyle w:val="FooterTableFigure"/>
        <w:keepNext/>
      </w:pPr>
      <w:r w:rsidRPr="004D70F4">
        <w:t>d Censored patients only</w:t>
      </w:r>
    </w:p>
    <w:p w14:paraId="476729AB" w14:textId="77777777" w:rsidR="003D4CFD" w:rsidRPr="004D70F4" w:rsidRDefault="003D4CFD" w:rsidP="0066027B">
      <w:pPr>
        <w:pStyle w:val="Heading3"/>
      </w:pPr>
      <w:bookmarkStart w:id="30" w:name="_Toc165368720"/>
      <w:r>
        <w:t>Overall survival</w:t>
      </w:r>
      <w:bookmarkEnd w:id="30"/>
    </w:p>
    <w:p w14:paraId="5BB66601" w14:textId="461D3088" w:rsidR="003D4CFD" w:rsidRPr="00A12B01" w:rsidRDefault="003D4CFD" w:rsidP="003D4CFD">
      <w:r w:rsidRPr="00A12B01">
        <w:t xml:space="preserve">OS results from the </w:t>
      </w:r>
      <w:r>
        <w:t>f</w:t>
      </w:r>
      <w:r w:rsidRPr="00A12B01">
        <w:t xml:space="preserve">inal OS DCO and </w:t>
      </w:r>
      <w:r>
        <w:t>e</w:t>
      </w:r>
      <w:r w:rsidRPr="00A12B01">
        <w:t xml:space="preserve">xtended OS DCO for the whole trial population of OlympiAD, the no prior chemotherapy subgroup and its complement are presented in </w:t>
      </w:r>
      <w:r w:rsidRPr="00A12B01">
        <w:fldChar w:fldCharType="begin"/>
      </w:r>
      <w:r w:rsidRPr="00A12B01">
        <w:instrText xml:space="preserve"> REF _Ref164436316 \h </w:instrText>
      </w:r>
      <w:r>
        <w:instrText xml:space="preserve"> \* MERGEFORMAT </w:instrText>
      </w:r>
      <w:r w:rsidRPr="00A12B01">
        <w:fldChar w:fldCharType="separate"/>
      </w:r>
      <w:r w:rsidR="00325DE1" w:rsidRPr="004D70F4">
        <w:t xml:space="preserve">Table </w:t>
      </w:r>
      <w:r w:rsidR="00325DE1">
        <w:rPr>
          <w:noProof/>
        </w:rPr>
        <w:t>7</w:t>
      </w:r>
      <w:r w:rsidRPr="00A12B01">
        <w:fldChar w:fldCharType="end"/>
      </w:r>
      <w:r w:rsidRPr="00A12B01">
        <w:t xml:space="preserve"> and </w:t>
      </w:r>
      <w:r w:rsidRPr="00A12B01">
        <w:fldChar w:fldCharType="begin"/>
      </w:r>
      <w:r w:rsidRPr="00A12B01">
        <w:instrText xml:space="preserve"> REF _Ref164436327 \h </w:instrText>
      </w:r>
      <w:r>
        <w:instrText xml:space="preserve"> \* MERGEFORMAT </w:instrText>
      </w:r>
      <w:r w:rsidRPr="00A12B01">
        <w:fldChar w:fldCharType="separate"/>
      </w:r>
      <w:r w:rsidR="00325DE1" w:rsidRPr="004D70F4">
        <w:t xml:space="preserve">Table </w:t>
      </w:r>
      <w:r w:rsidR="00325DE1">
        <w:rPr>
          <w:noProof/>
        </w:rPr>
        <w:t>8</w:t>
      </w:r>
      <w:r w:rsidRPr="00A12B01">
        <w:fldChar w:fldCharType="end"/>
      </w:r>
      <w:r w:rsidRPr="00A12B01">
        <w:t>, respectively.</w:t>
      </w:r>
    </w:p>
    <w:p w14:paraId="7F7408E1" w14:textId="77777777" w:rsidR="003D4CFD" w:rsidRPr="00A12B01" w:rsidRDefault="003D4CFD" w:rsidP="003D4CFD">
      <w:r w:rsidRPr="004D70F4">
        <w:t>As of the final OS DCO</w:t>
      </w:r>
      <w:r w:rsidRPr="00A12B01">
        <w:t>, the OS whole trial data had reached 64% maturity, with 192 events (130 patients had died in the olaparib arm, and 62 in the chemotherapy arm).</w:t>
      </w:r>
    </w:p>
    <w:p w14:paraId="21859BBF" w14:textId="77777777" w:rsidR="003D4CFD" w:rsidRPr="00A12B01" w:rsidRDefault="003D4CFD" w:rsidP="003D4CFD">
      <w:r w:rsidRPr="00A12B01">
        <w:t>As of the DCO for the extended OS analysis, OS data had reached 76.8% maturity, with a further 40 events (total 159 deaths in the olaparib arm and 73 deaths in the chemotherapy arm).</w:t>
      </w:r>
    </w:p>
    <w:p w14:paraId="1DB4B98B" w14:textId="3BEC6E7A" w:rsidR="003D4CFD" w:rsidRPr="000E7A45" w:rsidRDefault="003D4CFD" w:rsidP="003D4CFD">
      <w:r w:rsidRPr="004D70F4">
        <w:t xml:space="preserve">In the whole trial population, no significant difference in the median OS was observed between the olaparib </w:t>
      </w:r>
      <w:r w:rsidRPr="000E7A45">
        <w:t xml:space="preserve">and the chemotherapy arms </w:t>
      </w:r>
      <w:r>
        <w:t xml:space="preserve">at </w:t>
      </w:r>
      <w:r w:rsidRPr="000E7A45">
        <w:t xml:space="preserve">either </w:t>
      </w:r>
      <w:r>
        <w:t>DCO</w:t>
      </w:r>
      <w:r w:rsidRPr="00907F39">
        <w:rPr>
          <w:i/>
          <w:iCs/>
        </w:rPr>
        <w:t xml:space="preserve">. </w:t>
      </w:r>
      <w:r w:rsidRPr="00F87911">
        <w:t xml:space="preserve">The </w:t>
      </w:r>
      <w:r w:rsidR="00907F39" w:rsidRPr="00F87911">
        <w:t xml:space="preserve">commentary noted that the </w:t>
      </w:r>
      <w:r w:rsidR="001D638C">
        <w:t>clinical study report (</w:t>
      </w:r>
      <w:r w:rsidRPr="00F87911">
        <w:t>CSR</w:t>
      </w:r>
      <w:r w:rsidR="001D638C">
        <w:t>)</w:t>
      </w:r>
      <w:r w:rsidRPr="00F87911">
        <w:t xml:space="preserve"> </w:t>
      </w:r>
      <w:r w:rsidR="00907F39" w:rsidRPr="00F87911">
        <w:t>ha</w:t>
      </w:r>
      <w:r w:rsidR="00F87911" w:rsidRPr="00F87911">
        <w:t>d</w:t>
      </w:r>
      <w:r w:rsidR="00907F39" w:rsidRPr="00F87911">
        <w:t xml:space="preserve"> stated that all efficacy analyses in the </w:t>
      </w:r>
      <w:r w:rsidRPr="00F87911">
        <w:t xml:space="preserve">extended OS analysis </w:t>
      </w:r>
      <w:r w:rsidR="00907F39" w:rsidRPr="00F87911">
        <w:t>were</w:t>
      </w:r>
      <w:r w:rsidRPr="00F87911">
        <w:t xml:space="preserve"> exploratory, and all p-values </w:t>
      </w:r>
      <w:r w:rsidR="00907F39" w:rsidRPr="00F87911">
        <w:t>were</w:t>
      </w:r>
      <w:r w:rsidRPr="00F87911">
        <w:t xml:space="preserve"> nominal.</w:t>
      </w:r>
    </w:p>
    <w:p w14:paraId="393EC417" w14:textId="77777777" w:rsidR="003D4CFD" w:rsidRPr="000E7A45" w:rsidRDefault="003D4CFD" w:rsidP="003D4CFD">
      <w:r w:rsidRPr="000E7A45">
        <w:t xml:space="preserve">In the </w:t>
      </w:r>
      <w:r>
        <w:t xml:space="preserve">final OS analysis for the no prior chemotherapy subgroup, the submission considered that the OS benefit was numerically greater than in the olaparib arm, where median OS was increased by 7.9 months and the risk of death reduced by 49% compared to chemotherapy (median 22.6 vs 14.7 months; HR = 0.51; 95%CI: 0.29, 0.90). In the </w:t>
      </w:r>
      <w:r w:rsidRPr="000E7A45">
        <w:t xml:space="preserve">extended OS analysis for the no prior chemotherapy subgroup, the submission considered that the OS benefit </w:t>
      </w:r>
      <w:r>
        <w:t xml:space="preserve">remained </w:t>
      </w:r>
      <w:r w:rsidRPr="000E7A45">
        <w:t xml:space="preserve">numerically greater in the olaparib arm, </w:t>
      </w:r>
      <w:r>
        <w:t xml:space="preserve">with the difference in median </w:t>
      </w:r>
      <w:r w:rsidRPr="000E7A45">
        <w:t xml:space="preserve">OS </w:t>
      </w:r>
      <w:r>
        <w:t xml:space="preserve">remaining at </w:t>
      </w:r>
      <w:r w:rsidRPr="000E7A45">
        <w:t>7.9 months and the risk of death reduced by 45% compared to chemotherapy (median 22.6 vs 14.7 months; HR=0.55; 95% CI: 0.33, 0.95</w:t>
      </w:r>
      <w:r>
        <w:t>; for extended DCO data cut</w:t>
      </w:r>
      <w:r w:rsidRPr="000E7A45">
        <w:t xml:space="preserve">). The submission argued this was clinically relevant given the recommended </w:t>
      </w:r>
      <w:r>
        <w:t>minimal clinically relevant difference (</w:t>
      </w:r>
      <w:r w:rsidRPr="000E7A45">
        <w:t>MCID</w:t>
      </w:r>
      <w:r>
        <w:t>)</w:t>
      </w:r>
      <w:r w:rsidRPr="000E7A45">
        <w:t xml:space="preserve"> of 4.5 to </w:t>
      </w:r>
      <w:r w:rsidRPr="000E7A45">
        <w:lastRenderedPageBreak/>
        <w:t>6 months</w:t>
      </w:r>
      <w:r>
        <w:t xml:space="preserve"> derived by </w:t>
      </w:r>
      <w:r w:rsidRPr="004D70F4">
        <w:t xml:space="preserve">consensus of working groups convened by </w:t>
      </w:r>
      <w:r>
        <w:t xml:space="preserve">the </w:t>
      </w:r>
      <w:r w:rsidRPr="004D70F4">
        <w:t>Cancer Research Committee</w:t>
      </w:r>
      <w:r w:rsidRPr="00D3654C">
        <w:t xml:space="preserve"> </w:t>
      </w:r>
      <w:r>
        <w:t xml:space="preserve">of the </w:t>
      </w:r>
      <w:r w:rsidRPr="00D3654C">
        <w:t>American Society of Clinical Oncology</w:t>
      </w:r>
      <w:r w:rsidRPr="004D70F4">
        <w:t xml:space="preserve"> </w:t>
      </w:r>
      <w:r w:rsidRPr="00D3654C">
        <w:t>(Ellis 2014)</w:t>
      </w:r>
      <w:r w:rsidRPr="000E7A45">
        <w:t>.</w:t>
      </w:r>
      <w:r w:rsidRPr="00D3654C">
        <w:rPr>
          <w:i/>
          <w:iCs/>
        </w:rPr>
        <w:t xml:space="preserve"> </w:t>
      </w:r>
      <w:r w:rsidRPr="000E7A45">
        <w:t>In this subgroup, 40.8% of patients in the olaparib arm were alive at 3 years compared with 12.8% of patients in the chemotherapy arm.</w:t>
      </w:r>
    </w:p>
    <w:p w14:paraId="37F581D8" w14:textId="71119742" w:rsidR="003D4CFD" w:rsidRPr="004D70F4" w:rsidRDefault="003D4CFD" w:rsidP="0066027B">
      <w:pPr>
        <w:pStyle w:val="Caption"/>
      </w:pPr>
      <w:bookmarkStart w:id="31" w:name="_Ref164436316"/>
      <w:r w:rsidRPr="004D70F4">
        <w:t xml:space="preserve">Table </w:t>
      </w:r>
      <w:r w:rsidR="008F6B43">
        <w:fldChar w:fldCharType="begin"/>
      </w:r>
      <w:r w:rsidR="008F6B43">
        <w:instrText xml:space="preserve"> SEQ Table \* ARABIC </w:instrText>
      </w:r>
      <w:r w:rsidR="008F6B43">
        <w:fldChar w:fldCharType="separate"/>
      </w:r>
      <w:r w:rsidR="00325DE1">
        <w:rPr>
          <w:noProof/>
        </w:rPr>
        <w:t>7</w:t>
      </w:r>
      <w:r w:rsidR="008F6B43">
        <w:rPr>
          <w:noProof/>
        </w:rPr>
        <w:fldChar w:fldCharType="end"/>
      </w:r>
      <w:bookmarkEnd w:id="31"/>
      <w:r w:rsidR="001D638C">
        <w:tab/>
      </w:r>
      <w:r w:rsidRPr="004D70F4">
        <w:t xml:space="preserve">Median </w:t>
      </w:r>
      <w:r w:rsidRPr="0066027B">
        <w:rPr>
          <w:rStyle w:val="CommentReference"/>
          <w:sz w:val="20"/>
          <w:szCs w:val="20"/>
        </w:rPr>
        <w:t>OS</w:t>
      </w:r>
      <w:r w:rsidRPr="004D70F4">
        <w:t xml:space="preserve"> and log-rank test, final </w:t>
      </w:r>
      <w:r>
        <w:t xml:space="preserve">OS </w:t>
      </w:r>
      <w:r w:rsidRPr="004D70F4">
        <w:t>DCO (full analysis set)</w:t>
      </w:r>
    </w:p>
    <w:tbl>
      <w:tblPr>
        <w:tblStyle w:val="TableGrid"/>
        <w:tblW w:w="5000" w:type="pct"/>
        <w:tblCellMar>
          <w:left w:w="29" w:type="dxa"/>
          <w:right w:w="29" w:type="dxa"/>
        </w:tblCellMar>
        <w:tblLook w:val="04A0" w:firstRow="1" w:lastRow="0" w:firstColumn="1" w:lastColumn="0" w:noHBand="0" w:noVBand="1"/>
      </w:tblPr>
      <w:tblGrid>
        <w:gridCol w:w="2418"/>
        <w:gridCol w:w="1124"/>
        <w:gridCol w:w="1250"/>
        <w:gridCol w:w="857"/>
        <w:gridCol w:w="1265"/>
        <w:gridCol w:w="895"/>
        <w:gridCol w:w="1207"/>
      </w:tblGrid>
      <w:tr w:rsidR="003D4CFD" w:rsidRPr="004D70F4" w14:paraId="028E1B3D" w14:textId="77777777" w:rsidTr="00583870">
        <w:tc>
          <w:tcPr>
            <w:tcW w:w="1342" w:type="pct"/>
            <w:vMerge w:val="restart"/>
            <w:vAlign w:val="center"/>
          </w:tcPr>
          <w:p w14:paraId="60830CFD" w14:textId="77777777" w:rsidR="003D4CFD" w:rsidRPr="004D70F4" w:rsidRDefault="003D4CFD" w:rsidP="00583870">
            <w:pPr>
              <w:pStyle w:val="TableText"/>
              <w:keepLines/>
            </w:pPr>
          </w:p>
        </w:tc>
        <w:tc>
          <w:tcPr>
            <w:tcW w:w="1318" w:type="pct"/>
            <w:gridSpan w:val="2"/>
            <w:vAlign w:val="center"/>
          </w:tcPr>
          <w:p w14:paraId="1E9637BB" w14:textId="77777777" w:rsidR="003D4CFD" w:rsidRPr="004D70F4" w:rsidRDefault="003D4CFD" w:rsidP="00583870">
            <w:pPr>
              <w:pStyle w:val="TableText"/>
              <w:keepLines/>
              <w:jc w:val="center"/>
              <w:rPr>
                <w:b/>
                <w:bCs/>
              </w:rPr>
            </w:pPr>
            <w:r w:rsidRPr="004D70F4">
              <w:rPr>
                <w:b/>
              </w:rPr>
              <w:t>Whole trial population</w:t>
            </w:r>
          </w:p>
        </w:tc>
        <w:tc>
          <w:tcPr>
            <w:tcW w:w="1178" w:type="pct"/>
            <w:gridSpan w:val="2"/>
            <w:vAlign w:val="center"/>
          </w:tcPr>
          <w:p w14:paraId="03E4B10B" w14:textId="77777777" w:rsidR="003D4CFD" w:rsidRPr="004D70F4" w:rsidRDefault="003D4CFD" w:rsidP="00583870">
            <w:pPr>
              <w:pStyle w:val="TableText"/>
              <w:keepLines/>
              <w:jc w:val="center"/>
              <w:rPr>
                <w:b/>
                <w:bCs/>
              </w:rPr>
            </w:pPr>
            <w:r w:rsidRPr="004D70F4">
              <w:rPr>
                <w:b/>
              </w:rPr>
              <w:t>No prior chemotherapy for mBC</w:t>
            </w:r>
          </w:p>
        </w:tc>
        <w:tc>
          <w:tcPr>
            <w:tcW w:w="1161" w:type="pct"/>
            <w:gridSpan w:val="2"/>
            <w:vAlign w:val="center"/>
          </w:tcPr>
          <w:p w14:paraId="776897A2" w14:textId="77777777" w:rsidR="003D4CFD" w:rsidRPr="004D70F4" w:rsidRDefault="003D4CFD" w:rsidP="00583870">
            <w:pPr>
              <w:pStyle w:val="TableText"/>
              <w:keepLines/>
              <w:jc w:val="center"/>
              <w:rPr>
                <w:b/>
                <w:bCs/>
              </w:rPr>
            </w:pPr>
            <w:r w:rsidRPr="004D70F4">
              <w:rPr>
                <w:b/>
              </w:rPr>
              <w:t>Prior chemotherapy</w:t>
            </w:r>
          </w:p>
        </w:tc>
      </w:tr>
      <w:tr w:rsidR="003D4CFD" w:rsidRPr="004D70F4" w14:paraId="528F4D7D" w14:textId="77777777" w:rsidTr="00583870">
        <w:trPr>
          <w:trHeight w:val="385"/>
        </w:trPr>
        <w:tc>
          <w:tcPr>
            <w:tcW w:w="1342" w:type="pct"/>
            <w:vMerge/>
            <w:vAlign w:val="center"/>
          </w:tcPr>
          <w:p w14:paraId="20B7B087" w14:textId="77777777" w:rsidR="003D4CFD" w:rsidRPr="004D70F4" w:rsidRDefault="003D4CFD" w:rsidP="00583870">
            <w:pPr>
              <w:pStyle w:val="TableText"/>
              <w:keepLines/>
            </w:pPr>
          </w:p>
        </w:tc>
        <w:tc>
          <w:tcPr>
            <w:tcW w:w="624" w:type="pct"/>
            <w:vAlign w:val="center"/>
          </w:tcPr>
          <w:p w14:paraId="41FBFBD1" w14:textId="77777777" w:rsidR="003D4CFD" w:rsidRPr="004D70F4" w:rsidRDefault="003D4CFD" w:rsidP="00583870">
            <w:pPr>
              <w:pStyle w:val="Tabletext0"/>
              <w:keepNext/>
              <w:keepLines/>
              <w:jc w:val="center"/>
              <w:rPr>
                <w:b/>
                <w:bCs/>
              </w:rPr>
            </w:pPr>
            <w:r w:rsidRPr="004D70F4">
              <w:rPr>
                <w:b/>
                <w:bCs/>
              </w:rPr>
              <w:t>Olaparib</w:t>
            </w:r>
          </w:p>
          <w:p w14:paraId="7AF86A6C" w14:textId="77777777" w:rsidR="003D4CFD" w:rsidRPr="004D70F4" w:rsidRDefault="003D4CFD" w:rsidP="00583870">
            <w:pPr>
              <w:pStyle w:val="TableText"/>
              <w:keepLines/>
              <w:jc w:val="center"/>
              <w:rPr>
                <w:b/>
                <w:bCs/>
              </w:rPr>
            </w:pPr>
            <w:r w:rsidRPr="004D70F4">
              <w:rPr>
                <w:b/>
              </w:rPr>
              <w:t>N=205</w:t>
            </w:r>
          </w:p>
        </w:tc>
        <w:tc>
          <w:tcPr>
            <w:tcW w:w="694" w:type="pct"/>
            <w:vAlign w:val="center"/>
          </w:tcPr>
          <w:p w14:paraId="2717A7D9" w14:textId="77777777" w:rsidR="003D4CFD" w:rsidRPr="004D70F4" w:rsidRDefault="003D4CFD" w:rsidP="00583870">
            <w:pPr>
              <w:pStyle w:val="Tabletext0"/>
              <w:keepNext/>
              <w:keepLines/>
              <w:jc w:val="center"/>
              <w:rPr>
                <w:b/>
                <w:bCs/>
                <w:vertAlign w:val="superscript"/>
              </w:rPr>
            </w:pPr>
            <w:r w:rsidRPr="004D70F4">
              <w:rPr>
                <w:b/>
                <w:bCs/>
              </w:rPr>
              <w:t>Chemotherapy</w:t>
            </w:r>
          </w:p>
          <w:p w14:paraId="518EF7FD" w14:textId="77777777" w:rsidR="003D4CFD" w:rsidRPr="004D70F4" w:rsidRDefault="003D4CFD" w:rsidP="00583870">
            <w:pPr>
              <w:pStyle w:val="TableText"/>
              <w:keepLines/>
              <w:jc w:val="center"/>
              <w:rPr>
                <w:b/>
                <w:bCs/>
              </w:rPr>
            </w:pPr>
            <w:r w:rsidRPr="004D70F4">
              <w:rPr>
                <w:b/>
              </w:rPr>
              <w:t>N=97</w:t>
            </w:r>
          </w:p>
        </w:tc>
        <w:tc>
          <w:tcPr>
            <w:tcW w:w="476" w:type="pct"/>
            <w:vAlign w:val="center"/>
          </w:tcPr>
          <w:p w14:paraId="74CC7BAD" w14:textId="77777777" w:rsidR="003D4CFD" w:rsidRPr="004D70F4" w:rsidRDefault="003D4CFD" w:rsidP="00583870">
            <w:pPr>
              <w:pStyle w:val="TableText"/>
              <w:keepLines/>
              <w:jc w:val="center"/>
              <w:rPr>
                <w:b/>
                <w:bCs/>
              </w:rPr>
            </w:pPr>
            <w:r w:rsidRPr="004D70F4">
              <w:rPr>
                <w:b/>
              </w:rPr>
              <w:t>Olaparib</w:t>
            </w:r>
          </w:p>
          <w:p w14:paraId="63B182B9" w14:textId="77777777" w:rsidR="003D4CFD" w:rsidRPr="004D70F4" w:rsidRDefault="003D4CFD" w:rsidP="00583870">
            <w:pPr>
              <w:pStyle w:val="TableText"/>
              <w:keepLines/>
              <w:jc w:val="center"/>
              <w:rPr>
                <w:b/>
                <w:bCs/>
              </w:rPr>
            </w:pPr>
            <w:r w:rsidRPr="004D70F4">
              <w:rPr>
                <w:b/>
              </w:rPr>
              <w:t>N=59</w:t>
            </w:r>
          </w:p>
        </w:tc>
        <w:tc>
          <w:tcPr>
            <w:tcW w:w="702" w:type="pct"/>
            <w:vAlign w:val="center"/>
          </w:tcPr>
          <w:p w14:paraId="2BF0DC2F" w14:textId="77777777" w:rsidR="003D4CFD" w:rsidRPr="004D70F4" w:rsidRDefault="003D4CFD" w:rsidP="00583870">
            <w:pPr>
              <w:pStyle w:val="TableText"/>
              <w:keepLines/>
              <w:jc w:val="center"/>
              <w:rPr>
                <w:b/>
                <w:bCs/>
                <w:vertAlign w:val="superscript"/>
              </w:rPr>
            </w:pPr>
            <w:r w:rsidRPr="004D70F4">
              <w:rPr>
                <w:b/>
              </w:rPr>
              <w:t>Chemotherapy</w:t>
            </w:r>
          </w:p>
          <w:p w14:paraId="523BBCE8" w14:textId="77777777" w:rsidR="003D4CFD" w:rsidRPr="004D70F4" w:rsidRDefault="003D4CFD" w:rsidP="00583870">
            <w:pPr>
              <w:pStyle w:val="TableText"/>
              <w:keepLines/>
              <w:jc w:val="center"/>
              <w:rPr>
                <w:b/>
                <w:bCs/>
              </w:rPr>
            </w:pPr>
            <w:r w:rsidRPr="004D70F4">
              <w:rPr>
                <w:b/>
              </w:rPr>
              <w:t>N=28</w:t>
            </w:r>
          </w:p>
        </w:tc>
        <w:tc>
          <w:tcPr>
            <w:tcW w:w="497" w:type="pct"/>
            <w:vAlign w:val="center"/>
          </w:tcPr>
          <w:p w14:paraId="58CAF535" w14:textId="77777777" w:rsidR="003D4CFD" w:rsidRPr="004D70F4" w:rsidRDefault="003D4CFD" w:rsidP="00583870">
            <w:pPr>
              <w:pStyle w:val="TableText"/>
              <w:keepLines/>
              <w:jc w:val="center"/>
              <w:rPr>
                <w:b/>
                <w:bCs/>
              </w:rPr>
            </w:pPr>
            <w:r w:rsidRPr="004D70F4">
              <w:rPr>
                <w:b/>
              </w:rPr>
              <w:t>Olaparib</w:t>
            </w:r>
          </w:p>
          <w:p w14:paraId="7D2DE5CA" w14:textId="77777777" w:rsidR="003D4CFD" w:rsidRPr="004D70F4" w:rsidRDefault="003D4CFD" w:rsidP="00583870">
            <w:pPr>
              <w:pStyle w:val="TableText"/>
              <w:keepLines/>
              <w:jc w:val="center"/>
              <w:rPr>
                <w:b/>
                <w:bCs/>
              </w:rPr>
            </w:pPr>
            <w:r w:rsidRPr="004D70F4">
              <w:rPr>
                <w:b/>
              </w:rPr>
              <w:t>N=146</w:t>
            </w:r>
          </w:p>
        </w:tc>
        <w:tc>
          <w:tcPr>
            <w:tcW w:w="664" w:type="pct"/>
            <w:vAlign w:val="center"/>
          </w:tcPr>
          <w:p w14:paraId="64D57A08" w14:textId="77777777" w:rsidR="003D4CFD" w:rsidRPr="004D70F4" w:rsidRDefault="003D4CFD" w:rsidP="00583870">
            <w:pPr>
              <w:pStyle w:val="TableText"/>
              <w:keepLines/>
              <w:jc w:val="center"/>
              <w:rPr>
                <w:b/>
                <w:bCs/>
                <w:vertAlign w:val="superscript"/>
              </w:rPr>
            </w:pPr>
            <w:r w:rsidRPr="004D70F4">
              <w:rPr>
                <w:b/>
              </w:rPr>
              <w:t>Chemotherapy</w:t>
            </w:r>
          </w:p>
          <w:p w14:paraId="6CB7644A" w14:textId="77777777" w:rsidR="003D4CFD" w:rsidRPr="004D70F4" w:rsidRDefault="003D4CFD" w:rsidP="00583870">
            <w:pPr>
              <w:pStyle w:val="TableText"/>
              <w:keepLines/>
              <w:jc w:val="center"/>
              <w:rPr>
                <w:b/>
                <w:bCs/>
              </w:rPr>
            </w:pPr>
            <w:r w:rsidRPr="004D70F4">
              <w:rPr>
                <w:b/>
              </w:rPr>
              <w:t>N=69</w:t>
            </w:r>
          </w:p>
        </w:tc>
      </w:tr>
      <w:tr w:rsidR="003D4CFD" w:rsidRPr="004D70F4" w14:paraId="182D8503" w14:textId="77777777" w:rsidTr="00583870">
        <w:tc>
          <w:tcPr>
            <w:tcW w:w="1342" w:type="pct"/>
            <w:vAlign w:val="center"/>
            <w:hideMark/>
          </w:tcPr>
          <w:p w14:paraId="5E9C8FBF" w14:textId="77777777" w:rsidR="003D4CFD" w:rsidRPr="004D70F4" w:rsidRDefault="003D4CFD" w:rsidP="00583870">
            <w:pPr>
              <w:pStyle w:val="TableText"/>
              <w:keepLines/>
            </w:pPr>
            <w:r w:rsidRPr="004D70F4">
              <w:t>Total number of deaths, n (%)</w:t>
            </w:r>
          </w:p>
        </w:tc>
        <w:tc>
          <w:tcPr>
            <w:tcW w:w="624" w:type="pct"/>
            <w:vAlign w:val="center"/>
          </w:tcPr>
          <w:p w14:paraId="37437C56" w14:textId="77777777" w:rsidR="003D4CFD" w:rsidRPr="004D70F4" w:rsidRDefault="003D4CFD" w:rsidP="00583870">
            <w:pPr>
              <w:pStyle w:val="TableText"/>
              <w:keepLines/>
              <w:jc w:val="center"/>
            </w:pPr>
            <w:r w:rsidRPr="004D70F4">
              <w:t>130 (63.4)</w:t>
            </w:r>
          </w:p>
        </w:tc>
        <w:tc>
          <w:tcPr>
            <w:tcW w:w="694" w:type="pct"/>
            <w:vAlign w:val="center"/>
          </w:tcPr>
          <w:p w14:paraId="3305C2F0" w14:textId="77777777" w:rsidR="003D4CFD" w:rsidRPr="004D70F4" w:rsidRDefault="003D4CFD" w:rsidP="00583870">
            <w:pPr>
              <w:pStyle w:val="TableText"/>
              <w:keepLines/>
              <w:jc w:val="center"/>
            </w:pPr>
            <w:r w:rsidRPr="004D70F4">
              <w:t>62 (63.9)</w:t>
            </w:r>
          </w:p>
        </w:tc>
        <w:tc>
          <w:tcPr>
            <w:tcW w:w="476" w:type="pct"/>
            <w:vAlign w:val="center"/>
          </w:tcPr>
          <w:p w14:paraId="7F1446E7" w14:textId="77777777" w:rsidR="003D4CFD" w:rsidRPr="004D70F4" w:rsidRDefault="003D4CFD" w:rsidP="00583870">
            <w:pPr>
              <w:pStyle w:val="TableText"/>
              <w:keepLines/>
              <w:jc w:val="center"/>
            </w:pPr>
            <w:r w:rsidRPr="004D70F4">
              <w:t>30 (50.8)</w:t>
            </w:r>
          </w:p>
        </w:tc>
        <w:tc>
          <w:tcPr>
            <w:tcW w:w="702" w:type="pct"/>
            <w:vAlign w:val="center"/>
          </w:tcPr>
          <w:p w14:paraId="47F10454" w14:textId="77777777" w:rsidR="003D4CFD" w:rsidRPr="004D70F4" w:rsidRDefault="003D4CFD" w:rsidP="00583870">
            <w:pPr>
              <w:pStyle w:val="TableText"/>
              <w:keepLines/>
              <w:jc w:val="center"/>
            </w:pPr>
            <w:r w:rsidRPr="004D70F4">
              <w:t>21 (75.0)</w:t>
            </w:r>
          </w:p>
        </w:tc>
        <w:tc>
          <w:tcPr>
            <w:tcW w:w="497" w:type="pct"/>
            <w:vAlign w:val="center"/>
            <w:hideMark/>
          </w:tcPr>
          <w:p w14:paraId="043FE076" w14:textId="77777777" w:rsidR="003D4CFD" w:rsidRPr="004D70F4" w:rsidRDefault="003D4CFD" w:rsidP="00583870">
            <w:pPr>
              <w:pStyle w:val="TableText"/>
              <w:keepLines/>
              <w:jc w:val="center"/>
            </w:pPr>
            <w:r w:rsidRPr="004D70F4">
              <w:t>100 (68.5)</w:t>
            </w:r>
          </w:p>
        </w:tc>
        <w:tc>
          <w:tcPr>
            <w:tcW w:w="664" w:type="pct"/>
            <w:vAlign w:val="center"/>
            <w:hideMark/>
          </w:tcPr>
          <w:p w14:paraId="2192CF75" w14:textId="77777777" w:rsidR="003D4CFD" w:rsidRPr="004D70F4" w:rsidRDefault="003D4CFD" w:rsidP="00583870">
            <w:pPr>
              <w:pStyle w:val="TableText"/>
              <w:keepLines/>
              <w:jc w:val="center"/>
            </w:pPr>
            <w:r w:rsidRPr="004D70F4">
              <w:t>41 (59.4)</w:t>
            </w:r>
          </w:p>
        </w:tc>
      </w:tr>
      <w:tr w:rsidR="003D4CFD" w:rsidRPr="004D70F4" w14:paraId="4394CF85" w14:textId="77777777" w:rsidTr="00583870">
        <w:tc>
          <w:tcPr>
            <w:tcW w:w="1342" w:type="pct"/>
            <w:vAlign w:val="center"/>
            <w:hideMark/>
          </w:tcPr>
          <w:p w14:paraId="25547ED6" w14:textId="77777777" w:rsidR="003D4CFD" w:rsidRPr="004D70F4" w:rsidRDefault="003D4CFD" w:rsidP="00583870">
            <w:pPr>
              <w:pStyle w:val="TableText"/>
              <w:keepLines/>
            </w:pPr>
            <w:r w:rsidRPr="004D70F4">
              <w:t>Median OS (95% CI), months</w:t>
            </w:r>
          </w:p>
        </w:tc>
        <w:tc>
          <w:tcPr>
            <w:tcW w:w="624" w:type="pct"/>
            <w:vAlign w:val="center"/>
          </w:tcPr>
          <w:p w14:paraId="35929ACE" w14:textId="77777777" w:rsidR="003D4CFD" w:rsidRPr="004D70F4" w:rsidRDefault="003D4CFD" w:rsidP="00583870">
            <w:pPr>
              <w:pStyle w:val="Tabletext0"/>
              <w:keepNext/>
              <w:keepLines/>
              <w:jc w:val="center"/>
            </w:pPr>
            <w:r w:rsidRPr="004D70F4">
              <w:t>19.25</w:t>
            </w:r>
          </w:p>
          <w:p w14:paraId="54499A1D" w14:textId="77777777" w:rsidR="003D4CFD" w:rsidRPr="004D70F4" w:rsidRDefault="003D4CFD" w:rsidP="00583870">
            <w:pPr>
              <w:pStyle w:val="TableText"/>
              <w:keepLines/>
              <w:jc w:val="center"/>
            </w:pPr>
            <w:r w:rsidRPr="004D70F4">
              <w:t>(17.15, 21.55)</w:t>
            </w:r>
          </w:p>
        </w:tc>
        <w:tc>
          <w:tcPr>
            <w:tcW w:w="694" w:type="pct"/>
            <w:vAlign w:val="center"/>
          </w:tcPr>
          <w:p w14:paraId="26AA3D1A" w14:textId="77777777" w:rsidR="003D4CFD" w:rsidRPr="004D70F4" w:rsidRDefault="003D4CFD" w:rsidP="00583870">
            <w:pPr>
              <w:pStyle w:val="Tabletext0"/>
              <w:keepNext/>
              <w:keepLines/>
              <w:jc w:val="center"/>
            </w:pPr>
            <w:r w:rsidRPr="004D70F4">
              <w:t>17.12</w:t>
            </w:r>
          </w:p>
          <w:p w14:paraId="6BF6DDDE" w14:textId="77777777" w:rsidR="003D4CFD" w:rsidRPr="004D70F4" w:rsidRDefault="003D4CFD" w:rsidP="00583870">
            <w:pPr>
              <w:pStyle w:val="TableText"/>
              <w:keepLines/>
              <w:jc w:val="center"/>
            </w:pPr>
            <w:r w:rsidRPr="004D70F4">
              <w:t>(13.86, 21.85)</w:t>
            </w:r>
          </w:p>
        </w:tc>
        <w:tc>
          <w:tcPr>
            <w:tcW w:w="476" w:type="pct"/>
            <w:vAlign w:val="center"/>
          </w:tcPr>
          <w:p w14:paraId="78AA7C2A" w14:textId="77777777" w:rsidR="003D4CFD" w:rsidRPr="004D70F4" w:rsidRDefault="003D4CFD" w:rsidP="00583870">
            <w:pPr>
              <w:pStyle w:val="TableText"/>
              <w:keepLines/>
              <w:jc w:val="center"/>
            </w:pPr>
            <w:r w:rsidRPr="004D70F4">
              <w:t>22.6</w:t>
            </w:r>
          </w:p>
          <w:p w14:paraId="3F6A5477" w14:textId="77777777" w:rsidR="003D4CFD" w:rsidRPr="004D70F4" w:rsidRDefault="003D4CFD" w:rsidP="00583870">
            <w:pPr>
              <w:pStyle w:val="TableText"/>
              <w:keepLines/>
              <w:jc w:val="center"/>
            </w:pPr>
            <w:r w:rsidRPr="004D70F4">
              <w:t>(17.8, NC)</w:t>
            </w:r>
          </w:p>
        </w:tc>
        <w:tc>
          <w:tcPr>
            <w:tcW w:w="702" w:type="pct"/>
            <w:vAlign w:val="center"/>
          </w:tcPr>
          <w:p w14:paraId="6D3720C9" w14:textId="77777777" w:rsidR="003D4CFD" w:rsidRPr="004D70F4" w:rsidRDefault="003D4CFD" w:rsidP="00583870">
            <w:pPr>
              <w:pStyle w:val="TableText"/>
              <w:keepLines/>
              <w:jc w:val="center"/>
            </w:pPr>
            <w:r w:rsidRPr="004D70F4">
              <w:t>14.7</w:t>
            </w:r>
          </w:p>
          <w:p w14:paraId="76F1AAC3" w14:textId="77777777" w:rsidR="003D4CFD" w:rsidRPr="004D70F4" w:rsidRDefault="003D4CFD" w:rsidP="00583870">
            <w:pPr>
              <w:pStyle w:val="TableText"/>
              <w:keepLines/>
              <w:jc w:val="center"/>
            </w:pPr>
            <w:r w:rsidRPr="004D70F4">
              <w:t>(11.0, 21.3)</w:t>
            </w:r>
          </w:p>
        </w:tc>
        <w:tc>
          <w:tcPr>
            <w:tcW w:w="497" w:type="pct"/>
            <w:vAlign w:val="center"/>
            <w:hideMark/>
          </w:tcPr>
          <w:p w14:paraId="303102B0" w14:textId="77777777" w:rsidR="003D4CFD" w:rsidRPr="004D70F4" w:rsidRDefault="003D4CFD" w:rsidP="00583870">
            <w:pPr>
              <w:pStyle w:val="TableText"/>
              <w:keepLines/>
              <w:jc w:val="center"/>
            </w:pPr>
            <w:r w:rsidRPr="004D70F4">
              <w:t>18.8</w:t>
            </w:r>
          </w:p>
          <w:p w14:paraId="6340D98D" w14:textId="77777777" w:rsidR="003D4CFD" w:rsidRPr="004D70F4" w:rsidRDefault="003D4CFD" w:rsidP="00583870">
            <w:pPr>
              <w:pStyle w:val="TableText"/>
              <w:keepLines/>
              <w:jc w:val="center"/>
            </w:pPr>
            <w:r w:rsidRPr="004D70F4">
              <w:t>(16.3, 20.4)</w:t>
            </w:r>
          </w:p>
        </w:tc>
        <w:tc>
          <w:tcPr>
            <w:tcW w:w="664" w:type="pct"/>
            <w:vAlign w:val="center"/>
            <w:hideMark/>
          </w:tcPr>
          <w:p w14:paraId="49E6D83B" w14:textId="77777777" w:rsidR="003D4CFD" w:rsidRPr="004D70F4" w:rsidRDefault="003D4CFD" w:rsidP="00583870">
            <w:pPr>
              <w:pStyle w:val="TableText"/>
              <w:keepLines/>
              <w:jc w:val="center"/>
            </w:pPr>
            <w:r w:rsidRPr="004D70F4">
              <w:t>17.2</w:t>
            </w:r>
          </w:p>
          <w:p w14:paraId="38021963" w14:textId="77777777" w:rsidR="003D4CFD" w:rsidRPr="004D70F4" w:rsidRDefault="003D4CFD" w:rsidP="00583870">
            <w:pPr>
              <w:pStyle w:val="TableText"/>
              <w:keepLines/>
              <w:jc w:val="center"/>
            </w:pPr>
            <w:r w:rsidRPr="004D70F4">
              <w:t>(13.5, 27.2)</w:t>
            </w:r>
          </w:p>
        </w:tc>
      </w:tr>
      <w:tr w:rsidR="003D4CFD" w:rsidRPr="004D70F4" w14:paraId="31C0CF56" w14:textId="77777777" w:rsidTr="00583870">
        <w:tc>
          <w:tcPr>
            <w:tcW w:w="1342" w:type="pct"/>
            <w:vAlign w:val="center"/>
          </w:tcPr>
          <w:p w14:paraId="3EE9F204" w14:textId="77777777" w:rsidR="003D4CFD" w:rsidRPr="004D70F4" w:rsidRDefault="003D4CFD" w:rsidP="00583870">
            <w:pPr>
              <w:pStyle w:val="TableText"/>
              <w:keepLines/>
            </w:pPr>
            <w:r w:rsidRPr="004D70F4">
              <w:t>HR (95% CI)</w:t>
            </w:r>
          </w:p>
        </w:tc>
        <w:tc>
          <w:tcPr>
            <w:tcW w:w="1318" w:type="pct"/>
            <w:gridSpan w:val="2"/>
            <w:vAlign w:val="center"/>
          </w:tcPr>
          <w:p w14:paraId="2FF64EFB" w14:textId="77777777" w:rsidR="003D4CFD" w:rsidRPr="004D70F4" w:rsidRDefault="003D4CFD" w:rsidP="00583870">
            <w:pPr>
              <w:pStyle w:val="TableText"/>
              <w:keepLines/>
              <w:jc w:val="center"/>
            </w:pPr>
            <w:r w:rsidRPr="004D70F4">
              <w:t>0.90 (0.66, 1.23)</w:t>
            </w:r>
          </w:p>
        </w:tc>
        <w:tc>
          <w:tcPr>
            <w:tcW w:w="1178" w:type="pct"/>
            <w:gridSpan w:val="2"/>
            <w:vAlign w:val="center"/>
          </w:tcPr>
          <w:p w14:paraId="1740D09F" w14:textId="77777777" w:rsidR="003D4CFD" w:rsidRPr="004D70F4" w:rsidRDefault="003D4CFD" w:rsidP="00583870">
            <w:pPr>
              <w:pStyle w:val="TableText"/>
              <w:keepLines/>
              <w:jc w:val="center"/>
            </w:pPr>
            <w:r w:rsidRPr="004D70F4">
              <w:t>0.51 (0.29, 0.90)</w:t>
            </w:r>
          </w:p>
        </w:tc>
        <w:tc>
          <w:tcPr>
            <w:tcW w:w="1161" w:type="pct"/>
            <w:gridSpan w:val="2"/>
            <w:vAlign w:val="center"/>
          </w:tcPr>
          <w:p w14:paraId="2C902AA5" w14:textId="77777777" w:rsidR="003D4CFD" w:rsidRPr="004D70F4" w:rsidRDefault="003D4CFD" w:rsidP="00583870">
            <w:pPr>
              <w:pStyle w:val="TableText"/>
              <w:keepLines/>
              <w:jc w:val="center"/>
            </w:pPr>
            <w:r w:rsidRPr="004D70F4">
              <w:t>1.13 (0.79, 1.64)</w:t>
            </w:r>
          </w:p>
        </w:tc>
      </w:tr>
      <w:tr w:rsidR="003D4CFD" w:rsidRPr="004D70F4" w14:paraId="4D764548" w14:textId="77777777" w:rsidTr="00583870">
        <w:tc>
          <w:tcPr>
            <w:tcW w:w="1342" w:type="pct"/>
            <w:vAlign w:val="center"/>
          </w:tcPr>
          <w:p w14:paraId="4CDEF673" w14:textId="77777777" w:rsidR="003D4CFD" w:rsidRPr="004D70F4" w:rsidRDefault="003D4CFD" w:rsidP="00583870">
            <w:pPr>
              <w:pStyle w:val="TableText"/>
              <w:keepLines/>
            </w:pPr>
            <w:r w:rsidRPr="004D70F4">
              <w:t>p</w:t>
            </w:r>
            <w:r w:rsidRPr="004D70F4">
              <w:noBreakHyphen/>
              <w:t>value (2</w:t>
            </w:r>
            <w:r w:rsidRPr="004D70F4">
              <w:noBreakHyphen/>
              <w:t>sided)</w:t>
            </w:r>
          </w:p>
        </w:tc>
        <w:tc>
          <w:tcPr>
            <w:tcW w:w="1318" w:type="pct"/>
            <w:gridSpan w:val="2"/>
            <w:vAlign w:val="center"/>
          </w:tcPr>
          <w:p w14:paraId="20A17C4F" w14:textId="77777777" w:rsidR="003D4CFD" w:rsidRPr="004D70F4" w:rsidRDefault="003D4CFD" w:rsidP="00583870">
            <w:pPr>
              <w:pStyle w:val="TableText"/>
              <w:keepLines/>
              <w:jc w:val="center"/>
            </w:pPr>
            <w:r w:rsidRPr="004D70F4">
              <w:t>0.5131</w:t>
            </w:r>
          </w:p>
        </w:tc>
        <w:tc>
          <w:tcPr>
            <w:tcW w:w="1178" w:type="pct"/>
            <w:gridSpan w:val="2"/>
            <w:vAlign w:val="center"/>
          </w:tcPr>
          <w:p w14:paraId="6E2AB711" w14:textId="77777777" w:rsidR="003D4CFD" w:rsidRPr="004D70F4" w:rsidRDefault="003D4CFD" w:rsidP="00583870">
            <w:pPr>
              <w:pStyle w:val="TableText"/>
              <w:keepLines/>
              <w:jc w:val="center"/>
            </w:pPr>
            <w:r w:rsidRPr="004D70F4">
              <w:t>0.0218</w:t>
            </w:r>
          </w:p>
        </w:tc>
        <w:tc>
          <w:tcPr>
            <w:tcW w:w="1161" w:type="pct"/>
            <w:gridSpan w:val="2"/>
            <w:vAlign w:val="center"/>
          </w:tcPr>
          <w:p w14:paraId="77BDF53E" w14:textId="77777777" w:rsidR="003D4CFD" w:rsidRPr="00CF56C1" w:rsidRDefault="003D4CFD" w:rsidP="00583870">
            <w:pPr>
              <w:pStyle w:val="TableText"/>
              <w:keepLines/>
              <w:jc w:val="center"/>
              <w:rPr>
                <w:vertAlign w:val="superscript"/>
              </w:rPr>
            </w:pPr>
            <w:r w:rsidRPr="00A77B66">
              <w:rPr>
                <w:i/>
                <w:iCs/>
              </w:rPr>
              <w:t>0.5156</w:t>
            </w:r>
            <w:r>
              <w:t xml:space="preserve"> </w:t>
            </w:r>
            <w:r>
              <w:rPr>
                <w:vertAlign w:val="superscript"/>
              </w:rPr>
              <w:t>b</w:t>
            </w:r>
          </w:p>
        </w:tc>
      </w:tr>
      <w:tr w:rsidR="003D4CFD" w:rsidRPr="004D70F4" w14:paraId="6AD9CEB5" w14:textId="77777777" w:rsidTr="00583870">
        <w:tc>
          <w:tcPr>
            <w:tcW w:w="1342" w:type="pct"/>
            <w:vAlign w:val="center"/>
          </w:tcPr>
          <w:p w14:paraId="4D4CBB70" w14:textId="77777777" w:rsidR="003D4CFD" w:rsidRPr="004D70F4" w:rsidRDefault="003D4CFD" w:rsidP="00583870">
            <w:pPr>
              <w:pStyle w:val="TableText"/>
              <w:keepLines/>
            </w:pPr>
            <w:r w:rsidRPr="004D70F4">
              <w:t>Survival at 6 months, %</w:t>
            </w:r>
          </w:p>
        </w:tc>
        <w:tc>
          <w:tcPr>
            <w:tcW w:w="624" w:type="pct"/>
            <w:vAlign w:val="center"/>
          </w:tcPr>
          <w:p w14:paraId="13BFA131" w14:textId="77777777" w:rsidR="003D4CFD" w:rsidRPr="004D70F4" w:rsidRDefault="003D4CFD" w:rsidP="00583870">
            <w:pPr>
              <w:pStyle w:val="TableText"/>
              <w:keepLines/>
              <w:jc w:val="center"/>
            </w:pPr>
            <w:r w:rsidRPr="004D70F4">
              <w:t>93.1</w:t>
            </w:r>
          </w:p>
        </w:tc>
        <w:tc>
          <w:tcPr>
            <w:tcW w:w="694" w:type="pct"/>
            <w:vAlign w:val="center"/>
          </w:tcPr>
          <w:p w14:paraId="39977EB0" w14:textId="77777777" w:rsidR="003D4CFD" w:rsidRPr="004D70F4" w:rsidRDefault="003D4CFD" w:rsidP="00583870">
            <w:pPr>
              <w:pStyle w:val="TableText"/>
              <w:keepLines/>
              <w:jc w:val="center"/>
            </w:pPr>
            <w:r w:rsidRPr="004D70F4">
              <w:t>85.8</w:t>
            </w:r>
          </w:p>
        </w:tc>
        <w:tc>
          <w:tcPr>
            <w:tcW w:w="476" w:type="pct"/>
            <w:vAlign w:val="center"/>
          </w:tcPr>
          <w:p w14:paraId="03E3EE06" w14:textId="77777777" w:rsidR="003D4CFD" w:rsidRPr="004D70F4" w:rsidRDefault="003D4CFD" w:rsidP="00583870">
            <w:pPr>
              <w:pStyle w:val="TableText"/>
              <w:keepLines/>
              <w:jc w:val="center"/>
            </w:pPr>
            <w:r w:rsidRPr="004D70F4">
              <w:t>93.2</w:t>
            </w:r>
          </w:p>
        </w:tc>
        <w:tc>
          <w:tcPr>
            <w:tcW w:w="702" w:type="pct"/>
            <w:vAlign w:val="center"/>
          </w:tcPr>
          <w:p w14:paraId="5A2F059D" w14:textId="77777777" w:rsidR="003D4CFD" w:rsidRPr="004D70F4" w:rsidRDefault="003D4CFD" w:rsidP="00583870">
            <w:pPr>
              <w:pStyle w:val="TableText"/>
              <w:keepLines/>
              <w:jc w:val="center"/>
            </w:pPr>
            <w:r w:rsidRPr="004D70F4">
              <w:t>88.5</w:t>
            </w:r>
          </w:p>
        </w:tc>
        <w:tc>
          <w:tcPr>
            <w:tcW w:w="497" w:type="pct"/>
            <w:vAlign w:val="center"/>
          </w:tcPr>
          <w:p w14:paraId="58F74308" w14:textId="77777777" w:rsidR="003D4CFD" w:rsidRPr="004D70F4" w:rsidRDefault="003D4CFD" w:rsidP="00583870">
            <w:pPr>
              <w:pStyle w:val="TableText"/>
              <w:keepLines/>
              <w:jc w:val="center"/>
            </w:pPr>
            <w:r w:rsidRPr="004D70F4">
              <w:t>93.1</w:t>
            </w:r>
          </w:p>
        </w:tc>
        <w:tc>
          <w:tcPr>
            <w:tcW w:w="664" w:type="pct"/>
            <w:vAlign w:val="center"/>
          </w:tcPr>
          <w:p w14:paraId="20D3726F" w14:textId="77777777" w:rsidR="003D4CFD" w:rsidRPr="004D70F4" w:rsidRDefault="003D4CFD" w:rsidP="00583870">
            <w:pPr>
              <w:pStyle w:val="TableText"/>
              <w:keepLines/>
              <w:jc w:val="center"/>
            </w:pPr>
            <w:r w:rsidRPr="004D70F4">
              <w:t>84.9</w:t>
            </w:r>
          </w:p>
        </w:tc>
      </w:tr>
      <w:tr w:rsidR="003D4CFD" w:rsidRPr="004D70F4" w14:paraId="4761BE46" w14:textId="77777777" w:rsidTr="00583870">
        <w:tc>
          <w:tcPr>
            <w:tcW w:w="1342" w:type="pct"/>
            <w:vAlign w:val="center"/>
          </w:tcPr>
          <w:p w14:paraId="40DBF369" w14:textId="77777777" w:rsidR="003D4CFD" w:rsidRPr="004D70F4" w:rsidRDefault="003D4CFD" w:rsidP="00583870">
            <w:pPr>
              <w:pStyle w:val="TableText"/>
              <w:keepLines/>
            </w:pPr>
            <w:r w:rsidRPr="004D70F4">
              <w:t>Survival at 12 months, %</w:t>
            </w:r>
          </w:p>
        </w:tc>
        <w:tc>
          <w:tcPr>
            <w:tcW w:w="624" w:type="pct"/>
            <w:vAlign w:val="center"/>
          </w:tcPr>
          <w:p w14:paraId="5115CE26" w14:textId="77777777" w:rsidR="003D4CFD" w:rsidRPr="004D70F4" w:rsidRDefault="003D4CFD" w:rsidP="00583870">
            <w:pPr>
              <w:pStyle w:val="TableText"/>
              <w:keepLines/>
              <w:jc w:val="center"/>
            </w:pPr>
            <w:r w:rsidRPr="004D70F4">
              <w:t>72.7</w:t>
            </w:r>
          </w:p>
        </w:tc>
        <w:tc>
          <w:tcPr>
            <w:tcW w:w="694" w:type="pct"/>
            <w:vAlign w:val="center"/>
          </w:tcPr>
          <w:p w14:paraId="4C925AD3" w14:textId="77777777" w:rsidR="003D4CFD" w:rsidRPr="004D70F4" w:rsidRDefault="003D4CFD" w:rsidP="00583870">
            <w:pPr>
              <w:pStyle w:val="TableText"/>
              <w:keepLines/>
              <w:jc w:val="center"/>
            </w:pPr>
            <w:r w:rsidRPr="004D70F4">
              <w:t>69.2</w:t>
            </w:r>
          </w:p>
        </w:tc>
        <w:tc>
          <w:tcPr>
            <w:tcW w:w="476" w:type="pct"/>
            <w:vAlign w:val="center"/>
          </w:tcPr>
          <w:p w14:paraId="25B33462" w14:textId="77777777" w:rsidR="003D4CFD" w:rsidRPr="004D70F4" w:rsidRDefault="003D4CFD" w:rsidP="00583870">
            <w:pPr>
              <w:pStyle w:val="TableText"/>
              <w:keepLines/>
              <w:jc w:val="center"/>
            </w:pPr>
            <w:r w:rsidRPr="004D70F4">
              <w:t>76.0</w:t>
            </w:r>
          </w:p>
        </w:tc>
        <w:tc>
          <w:tcPr>
            <w:tcW w:w="702" w:type="pct"/>
            <w:vAlign w:val="center"/>
          </w:tcPr>
          <w:p w14:paraId="66ED645F" w14:textId="77777777" w:rsidR="003D4CFD" w:rsidRPr="004D70F4" w:rsidRDefault="003D4CFD" w:rsidP="00583870">
            <w:pPr>
              <w:pStyle w:val="TableText"/>
              <w:keepLines/>
              <w:jc w:val="center"/>
            </w:pPr>
            <w:r w:rsidRPr="004D70F4">
              <w:t>65.4</w:t>
            </w:r>
          </w:p>
        </w:tc>
        <w:tc>
          <w:tcPr>
            <w:tcW w:w="497" w:type="pct"/>
            <w:vAlign w:val="center"/>
          </w:tcPr>
          <w:p w14:paraId="3C30895F" w14:textId="77777777" w:rsidR="003D4CFD" w:rsidRPr="004D70F4" w:rsidRDefault="003D4CFD" w:rsidP="00583870">
            <w:pPr>
              <w:pStyle w:val="TableText"/>
              <w:keepLines/>
              <w:jc w:val="center"/>
            </w:pPr>
            <w:r w:rsidRPr="004D70F4">
              <w:t>71.4</w:t>
            </w:r>
          </w:p>
        </w:tc>
        <w:tc>
          <w:tcPr>
            <w:tcW w:w="664" w:type="pct"/>
            <w:vAlign w:val="center"/>
          </w:tcPr>
          <w:p w14:paraId="2D12DAD4" w14:textId="77777777" w:rsidR="003D4CFD" w:rsidRPr="004D70F4" w:rsidRDefault="003D4CFD" w:rsidP="00583870">
            <w:pPr>
              <w:pStyle w:val="TableText"/>
              <w:keepLines/>
              <w:jc w:val="center"/>
            </w:pPr>
            <w:r w:rsidRPr="004D70F4">
              <w:t>70.8</w:t>
            </w:r>
          </w:p>
        </w:tc>
      </w:tr>
      <w:tr w:rsidR="003D4CFD" w:rsidRPr="004D70F4" w14:paraId="61EC484B" w14:textId="77777777" w:rsidTr="00583870">
        <w:tc>
          <w:tcPr>
            <w:tcW w:w="1342" w:type="pct"/>
            <w:vAlign w:val="center"/>
          </w:tcPr>
          <w:p w14:paraId="0BCD534F" w14:textId="77777777" w:rsidR="003D4CFD" w:rsidRPr="004D70F4" w:rsidRDefault="003D4CFD" w:rsidP="00583870">
            <w:pPr>
              <w:pStyle w:val="TableText"/>
              <w:keepLines/>
            </w:pPr>
            <w:r w:rsidRPr="004D70F4">
              <w:t>Survival at 18 months, %</w:t>
            </w:r>
          </w:p>
        </w:tc>
        <w:tc>
          <w:tcPr>
            <w:tcW w:w="624" w:type="pct"/>
            <w:vAlign w:val="center"/>
          </w:tcPr>
          <w:p w14:paraId="5F01A2F0" w14:textId="77777777" w:rsidR="003D4CFD" w:rsidRPr="004D70F4" w:rsidRDefault="003D4CFD" w:rsidP="00583870">
            <w:pPr>
              <w:pStyle w:val="TableText"/>
              <w:keepLines/>
              <w:jc w:val="center"/>
            </w:pPr>
            <w:r w:rsidRPr="004D70F4">
              <w:t>54.1</w:t>
            </w:r>
          </w:p>
        </w:tc>
        <w:tc>
          <w:tcPr>
            <w:tcW w:w="694" w:type="pct"/>
            <w:vAlign w:val="center"/>
          </w:tcPr>
          <w:p w14:paraId="5CD4B597" w14:textId="77777777" w:rsidR="003D4CFD" w:rsidRPr="004D70F4" w:rsidRDefault="003D4CFD" w:rsidP="00583870">
            <w:pPr>
              <w:pStyle w:val="TableText"/>
              <w:keepLines/>
              <w:jc w:val="center"/>
            </w:pPr>
            <w:r w:rsidRPr="004D70F4">
              <w:t>48.0</w:t>
            </w:r>
          </w:p>
        </w:tc>
        <w:tc>
          <w:tcPr>
            <w:tcW w:w="476" w:type="pct"/>
            <w:vAlign w:val="center"/>
          </w:tcPr>
          <w:p w14:paraId="67474AFA" w14:textId="77777777" w:rsidR="003D4CFD" w:rsidRPr="004D70F4" w:rsidRDefault="003D4CFD" w:rsidP="00583870">
            <w:pPr>
              <w:pStyle w:val="TableText"/>
              <w:keepLines/>
              <w:jc w:val="center"/>
            </w:pPr>
            <w:r w:rsidRPr="004D70F4">
              <w:t>62.1</w:t>
            </w:r>
          </w:p>
        </w:tc>
        <w:tc>
          <w:tcPr>
            <w:tcW w:w="702" w:type="pct"/>
            <w:vAlign w:val="center"/>
          </w:tcPr>
          <w:p w14:paraId="351452F4" w14:textId="77777777" w:rsidR="003D4CFD" w:rsidRPr="004D70F4" w:rsidRDefault="003D4CFD" w:rsidP="00583870">
            <w:pPr>
              <w:pStyle w:val="TableText"/>
              <w:keepLines/>
              <w:jc w:val="center"/>
            </w:pPr>
            <w:r w:rsidRPr="004D70F4">
              <w:t>46.2</w:t>
            </w:r>
          </w:p>
        </w:tc>
        <w:tc>
          <w:tcPr>
            <w:tcW w:w="497" w:type="pct"/>
            <w:vAlign w:val="center"/>
          </w:tcPr>
          <w:p w14:paraId="67BF3753" w14:textId="77777777" w:rsidR="003D4CFD" w:rsidRPr="004D70F4" w:rsidRDefault="003D4CFD" w:rsidP="00583870">
            <w:pPr>
              <w:pStyle w:val="TableText"/>
              <w:keepLines/>
              <w:jc w:val="center"/>
            </w:pPr>
            <w:r w:rsidRPr="004D70F4">
              <w:t>50.8</w:t>
            </w:r>
          </w:p>
        </w:tc>
        <w:tc>
          <w:tcPr>
            <w:tcW w:w="664" w:type="pct"/>
            <w:vAlign w:val="center"/>
          </w:tcPr>
          <w:p w14:paraId="2DBA5F71" w14:textId="77777777" w:rsidR="003D4CFD" w:rsidRPr="004D70F4" w:rsidRDefault="003D4CFD" w:rsidP="00583870">
            <w:pPr>
              <w:pStyle w:val="TableText"/>
              <w:keepLines/>
              <w:jc w:val="center"/>
            </w:pPr>
            <w:r w:rsidRPr="004D70F4">
              <w:t>48.8</w:t>
            </w:r>
          </w:p>
        </w:tc>
      </w:tr>
      <w:tr w:rsidR="003D4CFD" w:rsidRPr="004D70F4" w14:paraId="53D418B9" w14:textId="77777777" w:rsidTr="00583870">
        <w:tc>
          <w:tcPr>
            <w:tcW w:w="1342" w:type="pct"/>
            <w:vAlign w:val="center"/>
          </w:tcPr>
          <w:p w14:paraId="409E41B5" w14:textId="77777777" w:rsidR="003D4CFD" w:rsidRPr="004D70F4" w:rsidRDefault="003D4CFD" w:rsidP="00583870">
            <w:pPr>
              <w:pStyle w:val="TableText"/>
              <w:keepLines/>
            </w:pPr>
            <w:r w:rsidRPr="004D70F4">
              <w:t>Survival at 24 months, %</w:t>
            </w:r>
          </w:p>
        </w:tc>
        <w:tc>
          <w:tcPr>
            <w:tcW w:w="624" w:type="pct"/>
            <w:vAlign w:val="center"/>
          </w:tcPr>
          <w:p w14:paraId="124B9C24" w14:textId="77777777" w:rsidR="003D4CFD" w:rsidRPr="004D70F4" w:rsidRDefault="003D4CFD" w:rsidP="00583870">
            <w:pPr>
              <w:pStyle w:val="TableText"/>
              <w:keepLines/>
              <w:jc w:val="center"/>
            </w:pPr>
            <w:r w:rsidRPr="004D70F4">
              <w:t>NR</w:t>
            </w:r>
          </w:p>
        </w:tc>
        <w:tc>
          <w:tcPr>
            <w:tcW w:w="694" w:type="pct"/>
            <w:vAlign w:val="center"/>
          </w:tcPr>
          <w:p w14:paraId="79B1CD51" w14:textId="77777777" w:rsidR="003D4CFD" w:rsidRPr="004D70F4" w:rsidRDefault="003D4CFD" w:rsidP="00583870">
            <w:pPr>
              <w:pStyle w:val="TableText"/>
              <w:keepLines/>
              <w:jc w:val="center"/>
            </w:pPr>
            <w:r w:rsidRPr="004D70F4">
              <w:t>NR</w:t>
            </w:r>
          </w:p>
        </w:tc>
        <w:tc>
          <w:tcPr>
            <w:tcW w:w="476" w:type="pct"/>
            <w:vAlign w:val="center"/>
          </w:tcPr>
          <w:p w14:paraId="351E9E21" w14:textId="77777777" w:rsidR="003D4CFD" w:rsidRPr="004D70F4" w:rsidRDefault="003D4CFD" w:rsidP="00583870">
            <w:pPr>
              <w:pStyle w:val="TableText"/>
              <w:keepLines/>
              <w:jc w:val="center"/>
            </w:pPr>
            <w:r w:rsidRPr="004D70F4">
              <w:t>48.0</w:t>
            </w:r>
          </w:p>
        </w:tc>
        <w:tc>
          <w:tcPr>
            <w:tcW w:w="702" w:type="pct"/>
            <w:vAlign w:val="center"/>
          </w:tcPr>
          <w:p w14:paraId="72A51BA5" w14:textId="77777777" w:rsidR="003D4CFD" w:rsidRPr="004D70F4" w:rsidRDefault="003D4CFD" w:rsidP="00583870">
            <w:pPr>
              <w:pStyle w:val="TableText"/>
              <w:keepLines/>
              <w:jc w:val="center"/>
            </w:pPr>
            <w:r w:rsidRPr="004D70F4">
              <w:t>26.9</w:t>
            </w:r>
          </w:p>
        </w:tc>
        <w:tc>
          <w:tcPr>
            <w:tcW w:w="497" w:type="pct"/>
            <w:vAlign w:val="center"/>
          </w:tcPr>
          <w:p w14:paraId="432289F8" w14:textId="77777777" w:rsidR="003D4CFD" w:rsidRPr="004D70F4" w:rsidRDefault="003D4CFD" w:rsidP="00583870">
            <w:pPr>
              <w:pStyle w:val="TableText"/>
              <w:keepLines/>
              <w:jc w:val="center"/>
            </w:pPr>
            <w:r w:rsidRPr="004D70F4">
              <w:t>35.0</w:t>
            </w:r>
          </w:p>
        </w:tc>
        <w:tc>
          <w:tcPr>
            <w:tcW w:w="664" w:type="pct"/>
            <w:vAlign w:val="center"/>
          </w:tcPr>
          <w:p w14:paraId="1F13C0B1" w14:textId="77777777" w:rsidR="003D4CFD" w:rsidRPr="004D70F4" w:rsidRDefault="003D4CFD" w:rsidP="00583870">
            <w:pPr>
              <w:pStyle w:val="TableText"/>
              <w:keepLines/>
              <w:jc w:val="center"/>
            </w:pPr>
            <w:r w:rsidRPr="004D70F4">
              <w:t>44.1</w:t>
            </w:r>
          </w:p>
        </w:tc>
      </w:tr>
      <w:tr w:rsidR="003D4CFD" w:rsidRPr="004D70F4" w14:paraId="3E287D28" w14:textId="77777777" w:rsidTr="00583870">
        <w:tc>
          <w:tcPr>
            <w:tcW w:w="1342" w:type="pct"/>
            <w:vAlign w:val="center"/>
          </w:tcPr>
          <w:p w14:paraId="0AC5438F" w14:textId="77777777" w:rsidR="003D4CFD" w:rsidRPr="004D70F4" w:rsidRDefault="003D4CFD" w:rsidP="00583870">
            <w:pPr>
              <w:pStyle w:val="TableText"/>
              <w:keepLines/>
            </w:pPr>
            <w:r w:rsidRPr="004D70F4">
              <w:t>Median follow-up for OS in all patients, months</w:t>
            </w:r>
          </w:p>
        </w:tc>
        <w:tc>
          <w:tcPr>
            <w:tcW w:w="624" w:type="pct"/>
            <w:vAlign w:val="center"/>
          </w:tcPr>
          <w:p w14:paraId="4CBD69F7" w14:textId="77777777" w:rsidR="003D4CFD" w:rsidRPr="004D70F4" w:rsidRDefault="003D4CFD" w:rsidP="00583870">
            <w:pPr>
              <w:pStyle w:val="TableText"/>
              <w:keepLines/>
              <w:jc w:val="center"/>
            </w:pPr>
            <w:r w:rsidRPr="004D70F4">
              <w:t>18.92</w:t>
            </w:r>
          </w:p>
        </w:tc>
        <w:tc>
          <w:tcPr>
            <w:tcW w:w="694" w:type="pct"/>
            <w:vAlign w:val="center"/>
          </w:tcPr>
          <w:p w14:paraId="1996F83B" w14:textId="77777777" w:rsidR="003D4CFD" w:rsidRPr="004D70F4" w:rsidRDefault="003D4CFD" w:rsidP="00583870">
            <w:pPr>
              <w:pStyle w:val="TableText"/>
              <w:keepLines/>
              <w:jc w:val="center"/>
            </w:pPr>
            <w:r w:rsidRPr="004D70F4">
              <w:t>15.54</w:t>
            </w:r>
          </w:p>
        </w:tc>
        <w:tc>
          <w:tcPr>
            <w:tcW w:w="476" w:type="pct"/>
            <w:vAlign w:val="center"/>
          </w:tcPr>
          <w:p w14:paraId="4FBDBE8F" w14:textId="77777777" w:rsidR="003D4CFD" w:rsidRPr="004D70F4" w:rsidRDefault="003D4CFD" w:rsidP="00583870">
            <w:pPr>
              <w:pStyle w:val="TableText"/>
              <w:keepLines/>
              <w:jc w:val="center"/>
            </w:pPr>
            <w:r w:rsidRPr="004D70F4">
              <w:t>22.05</w:t>
            </w:r>
          </w:p>
        </w:tc>
        <w:tc>
          <w:tcPr>
            <w:tcW w:w="702" w:type="pct"/>
            <w:vAlign w:val="center"/>
          </w:tcPr>
          <w:p w14:paraId="3D444698" w14:textId="77777777" w:rsidR="003D4CFD" w:rsidRPr="004D70F4" w:rsidRDefault="003D4CFD" w:rsidP="00583870">
            <w:pPr>
              <w:pStyle w:val="TableText"/>
              <w:keepLines/>
              <w:jc w:val="center"/>
            </w:pPr>
            <w:r w:rsidRPr="004D70F4">
              <w:t>14.14</w:t>
            </w:r>
          </w:p>
        </w:tc>
        <w:tc>
          <w:tcPr>
            <w:tcW w:w="497" w:type="pct"/>
            <w:vAlign w:val="center"/>
          </w:tcPr>
          <w:p w14:paraId="7F551C77" w14:textId="77777777" w:rsidR="003D4CFD" w:rsidRPr="004D70F4" w:rsidRDefault="003D4CFD" w:rsidP="00583870">
            <w:pPr>
              <w:pStyle w:val="TableText"/>
              <w:keepLines/>
              <w:jc w:val="center"/>
            </w:pPr>
            <w:r w:rsidRPr="004D70F4">
              <w:t>17.40</w:t>
            </w:r>
          </w:p>
        </w:tc>
        <w:tc>
          <w:tcPr>
            <w:tcW w:w="664" w:type="pct"/>
            <w:vAlign w:val="center"/>
          </w:tcPr>
          <w:p w14:paraId="7F320CF8" w14:textId="77777777" w:rsidR="003D4CFD" w:rsidRPr="004D70F4" w:rsidRDefault="003D4CFD" w:rsidP="00583870">
            <w:pPr>
              <w:pStyle w:val="TableText"/>
              <w:keepLines/>
              <w:jc w:val="center"/>
            </w:pPr>
            <w:r w:rsidRPr="004D70F4">
              <w:t>16.76</w:t>
            </w:r>
          </w:p>
        </w:tc>
      </w:tr>
      <w:tr w:rsidR="003D4CFD" w:rsidRPr="004D70F4" w14:paraId="4A0D83CF" w14:textId="77777777" w:rsidTr="00583870">
        <w:tc>
          <w:tcPr>
            <w:tcW w:w="1342" w:type="pct"/>
            <w:vAlign w:val="center"/>
          </w:tcPr>
          <w:p w14:paraId="32563323" w14:textId="77777777" w:rsidR="003D4CFD" w:rsidRPr="004D70F4" w:rsidRDefault="003D4CFD" w:rsidP="00583870">
            <w:pPr>
              <w:pStyle w:val="TableText"/>
              <w:keepLines/>
            </w:pPr>
            <w:r w:rsidRPr="004D70F4">
              <w:t>Median follow-up for OS in censored patients, months</w:t>
            </w:r>
          </w:p>
        </w:tc>
        <w:tc>
          <w:tcPr>
            <w:tcW w:w="624" w:type="pct"/>
            <w:vAlign w:val="center"/>
          </w:tcPr>
          <w:p w14:paraId="2FF483C2" w14:textId="77777777" w:rsidR="003D4CFD" w:rsidRPr="004D70F4" w:rsidRDefault="003D4CFD" w:rsidP="00583870">
            <w:pPr>
              <w:pStyle w:val="TableText"/>
              <w:keepLines/>
              <w:jc w:val="center"/>
            </w:pPr>
            <w:r w:rsidRPr="004D70F4">
              <w:t>25.30</w:t>
            </w:r>
          </w:p>
        </w:tc>
        <w:tc>
          <w:tcPr>
            <w:tcW w:w="694" w:type="pct"/>
            <w:vAlign w:val="center"/>
          </w:tcPr>
          <w:p w14:paraId="526F6C3D" w14:textId="77777777" w:rsidR="003D4CFD" w:rsidRPr="004D70F4" w:rsidRDefault="003D4CFD" w:rsidP="00583870">
            <w:pPr>
              <w:pStyle w:val="TableText"/>
              <w:keepLines/>
              <w:jc w:val="center"/>
            </w:pPr>
            <w:r w:rsidRPr="004D70F4">
              <w:t>26.25</w:t>
            </w:r>
          </w:p>
        </w:tc>
        <w:tc>
          <w:tcPr>
            <w:tcW w:w="476" w:type="pct"/>
            <w:vAlign w:val="center"/>
          </w:tcPr>
          <w:p w14:paraId="179833EF" w14:textId="77777777" w:rsidR="003D4CFD" w:rsidRPr="004D70F4" w:rsidRDefault="003D4CFD" w:rsidP="00583870">
            <w:pPr>
              <w:pStyle w:val="TableText"/>
              <w:keepLines/>
              <w:jc w:val="center"/>
            </w:pPr>
            <w:r w:rsidRPr="004D70F4">
              <w:t>25.53</w:t>
            </w:r>
          </w:p>
        </w:tc>
        <w:tc>
          <w:tcPr>
            <w:tcW w:w="702" w:type="pct"/>
            <w:vAlign w:val="center"/>
          </w:tcPr>
          <w:p w14:paraId="450D0E26" w14:textId="77777777" w:rsidR="003D4CFD" w:rsidRPr="004D70F4" w:rsidRDefault="003D4CFD" w:rsidP="00583870">
            <w:pPr>
              <w:pStyle w:val="TableText"/>
              <w:keepLines/>
              <w:jc w:val="center"/>
            </w:pPr>
            <w:r w:rsidRPr="004D70F4">
              <w:t>26.91</w:t>
            </w:r>
          </w:p>
        </w:tc>
        <w:tc>
          <w:tcPr>
            <w:tcW w:w="497" w:type="pct"/>
            <w:vAlign w:val="center"/>
          </w:tcPr>
          <w:p w14:paraId="20E495BB" w14:textId="77777777" w:rsidR="003D4CFD" w:rsidRPr="004D70F4" w:rsidRDefault="003D4CFD" w:rsidP="00583870">
            <w:pPr>
              <w:pStyle w:val="TableText"/>
              <w:keepLines/>
              <w:jc w:val="center"/>
            </w:pPr>
            <w:r w:rsidRPr="004D70F4">
              <w:t>25.17</w:t>
            </w:r>
          </w:p>
        </w:tc>
        <w:tc>
          <w:tcPr>
            <w:tcW w:w="664" w:type="pct"/>
            <w:vAlign w:val="center"/>
          </w:tcPr>
          <w:p w14:paraId="7C50FD2C" w14:textId="77777777" w:rsidR="003D4CFD" w:rsidRPr="004D70F4" w:rsidRDefault="003D4CFD" w:rsidP="00583870">
            <w:pPr>
              <w:pStyle w:val="TableText"/>
              <w:keepLines/>
              <w:jc w:val="center"/>
            </w:pPr>
            <w:r w:rsidRPr="004D70F4">
              <w:t>25.95</w:t>
            </w:r>
          </w:p>
        </w:tc>
      </w:tr>
    </w:tbl>
    <w:p w14:paraId="03867B96" w14:textId="77777777" w:rsidR="003D4CFD" w:rsidRPr="004D70F4" w:rsidRDefault="003D4CFD" w:rsidP="003D4CFD">
      <w:pPr>
        <w:pStyle w:val="FooterTableFigure"/>
        <w:keepNext/>
        <w:keepLines/>
      </w:pPr>
      <w:r w:rsidRPr="004D70F4">
        <w:t>Source: Table 2.19, p72 and Table 2.30, p88 of the submission.</w:t>
      </w:r>
    </w:p>
    <w:p w14:paraId="593FE5BC" w14:textId="77777777" w:rsidR="003D4CFD" w:rsidRPr="004D70F4" w:rsidRDefault="003D4CFD" w:rsidP="003D4CFD">
      <w:pPr>
        <w:pStyle w:val="FooterTableFigure"/>
        <w:keepNext/>
        <w:keepLines/>
      </w:pPr>
      <w:r w:rsidRPr="004D70F4">
        <w:t>CI = confidence interval; DCO = data cut-off; HR = hazard ratio; NC = not calculable; OS = overall survival</w:t>
      </w:r>
    </w:p>
    <w:p w14:paraId="035D38A3" w14:textId="77777777" w:rsidR="003D4CFD" w:rsidRDefault="003D4CFD" w:rsidP="003D4CFD">
      <w:pPr>
        <w:pStyle w:val="FooterTableFigure"/>
        <w:keepNext/>
        <w:keepLines/>
      </w:pPr>
      <w:r w:rsidRPr="004D70F4">
        <w:t>Note: Each subgroup analysis was performed using a single Cox proportional hazards model containing the treatment term, the subgroup covariate of interest and the treatment by subgroup interaction. A hazard ratio &lt;1 favours Olaparib 300 mg bd. The CI was calculated using a profile likelihood approach. P-values were calculated from likelihood ratio statistics, using a contrast statement for each subgroup level.</w:t>
      </w:r>
    </w:p>
    <w:p w14:paraId="2A5288CD" w14:textId="77777777" w:rsidR="003D4CFD" w:rsidRPr="00CF56C1" w:rsidRDefault="003D4CFD" w:rsidP="003D4CFD">
      <w:pPr>
        <w:pStyle w:val="FooterTableFigure"/>
        <w:keepNext/>
        <w:keepLines/>
      </w:pPr>
      <w:r>
        <w:t xml:space="preserve">b reported as 0.05156 in submission, corrected during evaluation </w:t>
      </w:r>
    </w:p>
    <w:p w14:paraId="3B56F42B" w14:textId="77777777" w:rsidR="003D4CFD" w:rsidRPr="004D70F4" w:rsidRDefault="003D4CFD" w:rsidP="003D4CFD">
      <w:pPr>
        <w:pStyle w:val="3-BodyText"/>
        <w:numPr>
          <w:ilvl w:val="0"/>
          <w:numId w:val="0"/>
        </w:numPr>
        <w:rPr>
          <w:color w:val="0066FF"/>
        </w:rPr>
      </w:pPr>
    </w:p>
    <w:p w14:paraId="11E1EB58" w14:textId="6BEA8353" w:rsidR="003D4CFD" w:rsidRPr="004D70F4" w:rsidRDefault="003D4CFD" w:rsidP="0066027B">
      <w:pPr>
        <w:pStyle w:val="Caption"/>
      </w:pPr>
      <w:bookmarkStart w:id="32" w:name="_Ref164436327"/>
      <w:r w:rsidRPr="004D70F4">
        <w:lastRenderedPageBreak/>
        <w:t xml:space="preserve">Table </w:t>
      </w:r>
      <w:r w:rsidR="008F6B43">
        <w:fldChar w:fldCharType="begin"/>
      </w:r>
      <w:r w:rsidR="008F6B43">
        <w:instrText xml:space="preserve"> SEQ Table \* ARABIC </w:instrText>
      </w:r>
      <w:r w:rsidR="008F6B43">
        <w:fldChar w:fldCharType="separate"/>
      </w:r>
      <w:r w:rsidR="00325DE1">
        <w:rPr>
          <w:noProof/>
        </w:rPr>
        <w:t>8</w:t>
      </w:r>
      <w:r w:rsidR="008F6B43">
        <w:rPr>
          <w:noProof/>
        </w:rPr>
        <w:fldChar w:fldCharType="end"/>
      </w:r>
      <w:bookmarkEnd w:id="32"/>
      <w:r w:rsidR="001D638C">
        <w:tab/>
      </w:r>
      <w:r w:rsidRPr="004D70F4">
        <w:t xml:space="preserve">Median OS </w:t>
      </w:r>
      <w:r w:rsidRPr="0066027B">
        <w:rPr>
          <w:rStyle w:val="CommentReference"/>
          <w:sz w:val="20"/>
          <w:szCs w:val="20"/>
        </w:rPr>
        <w:t>and</w:t>
      </w:r>
      <w:r w:rsidRPr="004D70F4">
        <w:t xml:space="preserve"> log-rank test, no prior chemotherapy for mBC, extended</w:t>
      </w:r>
      <w:r>
        <w:t xml:space="preserve"> OS</w:t>
      </w:r>
      <w:r w:rsidRPr="004D70F4">
        <w:t xml:space="preserve"> DCO (full analysis set)</w:t>
      </w:r>
    </w:p>
    <w:tbl>
      <w:tblPr>
        <w:tblStyle w:val="TableGrid"/>
        <w:tblW w:w="5000" w:type="pct"/>
        <w:tblCellMar>
          <w:left w:w="29" w:type="dxa"/>
          <w:right w:w="29" w:type="dxa"/>
        </w:tblCellMar>
        <w:tblLook w:val="04A0" w:firstRow="1" w:lastRow="0" w:firstColumn="1" w:lastColumn="0" w:noHBand="0" w:noVBand="1"/>
      </w:tblPr>
      <w:tblGrid>
        <w:gridCol w:w="2413"/>
        <w:gridCol w:w="1090"/>
        <w:gridCol w:w="1207"/>
        <w:gridCol w:w="971"/>
        <w:gridCol w:w="1207"/>
        <w:gridCol w:w="921"/>
        <w:gridCol w:w="1207"/>
      </w:tblGrid>
      <w:tr w:rsidR="003D4CFD" w:rsidRPr="004D70F4" w14:paraId="019FCD44" w14:textId="77777777" w:rsidTr="00583870">
        <w:tc>
          <w:tcPr>
            <w:tcW w:w="1342" w:type="pct"/>
            <w:vMerge w:val="restart"/>
          </w:tcPr>
          <w:p w14:paraId="230E3AA7" w14:textId="77777777" w:rsidR="003D4CFD" w:rsidRPr="004D70F4" w:rsidRDefault="003D4CFD" w:rsidP="0066027B">
            <w:pPr>
              <w:pStyle w:val="TableText"/>
              <w:keepNext/>
            </w:pPr>
          </w:p>
        </w:tc>
        <w:tc>
          <w:tcPr>
            <w:tcW w:w="1273" w:type="pct"/>
            <w:gridSpan w:val="2"/>
            <w:vAlign w:val="center"/>
          </w:tcPr>
          <w:p w14:paraId="73ECEE88" w14:textId="77777777" w:rsidR="003D4CFD" w:rsidRPr="004D70F4" w:rsidRDefault="003D4CFD" w:rsidP="0066027B">
            <w:pPr>
              <w:pStyle w:val="TableText"/>
              <w:keepNext/>
              <w:jc w:val="center"/>
              <w:rPr>
                <w:b/>
                <w:bCs/>
              </w:rPr>
            </w:pPr>
            <w:r w:rsidRPr="004D70F4">
              <w:rPr>
                <w:b/>
              </w:rPr>
              <w:t>Whole Trial Population</w:t>
            </w:r>
          </w:p>
        </w:tc>
        <w:tc>
          <w:tcPr>
            <w:tcW w:w="1206" w:type="pct"/>
            <w:gridSpan w:val="2"/>
            <w:vAlign w:val="center"/>
          </w:tcPr>
          <w:p w14:paraId="6387DDC0" w14:textId="77777777" w:rsidR="003D4CFD" w:rsidRPr="004D70F4" w:rsidRDefault="003D4CFD" w:rsidP="0066027B">
            <w:pPr>
              <w:pStyle w:val="TableText"/>
              <w:keepNext/>
              <w:jc w:val="center"/>
              <w:rPr>
                <w:b/>
                <w:bCs/>
              </w:rPr>
            </w:pPr>
            <w:r w:rsidRPr="004D70F4">
              <w:rPr>
                <w:b/>
              </w:rPr>
              <w:t>No prior chemotherapy for mBC</w:t>
            </w:r>
          </w:p>
        </w:tc>
        <w:tc>
          <w:tcPr>
            <w:tcW w:w="1178" w:type="pct"/>
            <w:gridSpan w:val="2"/>
            <w:vAlign w:val="center"/>
          </w:tcPr>
          <w:p w14:paraId="6E5302D0" w14:textId="77777777" w:rsidR="003D4CFD" w:rsidRPr="004D70F4" w:rsidRDefault="003D4CFD" w:rsidP="0066027B">
            <w:pPr>
              <w:pStyle w:val="TableText"/>
              <w:keepNext/>
              <w:jc w:val="center"/>
              <w:rPr>
                <w:b/>
                <w:bCs/>
              </w:rPr>
            </w:pPr>
            <w:r w:rsidRPr="004D70F4">
              <w:rPr>
                <w:b/>
              </w:rPr>
              <w:t>Prior chemotherapy</w:t>
            </w:r>
          </w:p>
        </w:tc>
      </w:tr>
      <w:tr w:rsidR="003D4CFD" w:rsidRPr="004D70F4" w14:paraId="16097586" w14:textId="77777777" w:rsidTr="00583870">
        <w:tc>
          <w:tcPr>
            <w:tcW w:w="1342" w:type="pct"/>
            <w:vMerge/>
          </w:tcPr>
          <w:p w14:paraId="6A926C2A" w14:textId="77777777" w:rsidR="003D4CFD" w:rsidRPr="004D70F4" w:rsidRDefault="003D4CFD" w:rsidP="0066027B">
            <w:pPr>
              <w:pStyle w:val="TableText"/>
              <w:keepNext/>
            </w:pPr>
          </w:p>
        </w:tc>
        <w:tc>
          <w:tcPr>
            <w:tcW w:w="608" w:type="pct"/>
            <w:vAlign w:val="center"/>
          </w:tcPr>
          <w:p w14:paraId="0E4C6586" w14:textId="77777777" w:rsidR="003D4CFD" w:rsidRPr="004D70F4" w:rsidRDefault="003D4CFD" w:rsidP="0066027B">
            <w:pPr>
              <w:pStyle w:val="Tabletext0"/>
              <w:keepNext/>
              <w:jc w:val="center"/>
              <w:rPr>
                <w:b/>
                <w:bCs/>
              </w:rPr>
            </w:pPr>
            <w:r w:rsidRPr="004D70F4">
              <w:rPr>
                <w:b/>
                <w:bCs/>
              </w:rPr>
              <w:t>Olaparib</w:t>
            </w:r>
          </w:p>
          <w:p w14:paraId="23DF7197" w14:textId="77777777" w:rsidR="003D4CFD" w:rsidRPr="004D70F4" w:rsidRDefault="003D4CFD" w:rsidP="0066027B">
            <w:pPr>
              <w:pStyle w:val="TableText"/>
              <w:keepNext/>
              <w:jc w:val="center"/>
              <w:rPr>
                <w:b/>
                <w:bCs/>
              </w:rPr>
            </w:pPr>
            <w:r w:rsidRPr="004D70F4">
              <w:rPr>
                <w:b/>
              </w:rPr>
              <w:t>N=205</w:t>
            </w:r>
          </w:p>
        </w:tc>
        <w:tc>
          <w:tcPr>
            <w:tcW w:w="665" w:type="pct"/>
            <w:vAlign w:val="center"/>
          </w:tcPr>
          <w:p w14:paraId="4E157244" w14:textId="77777777" w:rsidR="003D4CFD" w:rsidRPr="004D70F4" w:rsidRDefault="003D4CFD" w:rsidP="0066027B">
            <w:pPr>
              <w:pStyle w:val="Tabletext0"/>
              <w:keepNext/>
              <w:jc w:val="center"/>
              <w:rPr>
                <w:b/>
                <w:bCs/>
                <w:vertAlign w:val="superscript"/>
              </w:rPr>
            </w:pPr>
            <w:r w:rsidRPr="004D70F4">
              <w:rPr>
                <w:b/>
                <w:bCs/>
              </w:rPr>
              <w:t>Chemotherapy</w:t>
            </w:r>
          </w:p>
          <w:p w14:paraId="27CD6E53" w14:textId="77777777" w:rsidR="003D4CFD" w:rsidRPr="004D70F4" w:rsidRDefault="003D4CFD" w:rsidP="0066027B">
            <w:pPr>
              <w:pStyle w:val="TableText"/>
              <w:keepNext/>
              <w:jc w:val="center"/>
              <w:rPr>
                <w:b/>
                <w:bCs/>
              </w:rPr>
            </w:pPr>
            <w:r w:rsidRPr="004D70F4">
              <w:rPr>
                <w:b/>
              </w:rPr>
              <w:t>N=97</w:t>
            </w:r>
          </w:p>
        </w:tc>
        <w:tc>
          <w:tcPr>
            <w:tcW w:w="542" w:type="pct"/>
            <w:vAlign w:val="center"/>
          </w:tcPr>
          <w:p w14:paraId="0F0E34E8" w14:textId="77777777" w:rsidR="003D4CFD" w:rsidRPr="004D70F4" w:rsidRDefault="003D4CFD" w:rsidP="0066027B">
            <w:pPr>
              <w:pStyle w:val="TableText"/>
              <w:keepNext/>
              <w:jc w:val="center"/>
              <w:rPr>
                <w:b/>
                <w:bCs/>
              </w:rPr>
            </w:pPr>
            <w:r w:rsidRPr="004D70F4">
              <w:rPr>
                <w:b/>
              </w:rPr>
              <w:t>Olaparib</w:t>
            </w:r>
          </w:p>
          <w:p w14:paraId="2F105816" w14:textId="77777777" w:rsidR="003D4CFD" w:rsidRPr="004D70F4" w:rsidRDefault="003D4CFD" w:rsidP="0066027B">
            <w:pPr>
              <w:pStyle w:val="TableText"/>
              <w:keepNext/>
              <w:jc w:val="center"/>
            </w:pPr>
            <w:r w:rsidRPr="004D70F4">
              <w:rPr>
                <w:b/>
              </w:rPr>
              <w:t>N=59</w:t>
            </w:r>
          </w:p>
        </w:tc>
        <w:tc>
          <w:tcPr>
            <w:tcW w:w="664" w:type="pct"/>
            <w:vAlign w:val="center"/>
          </w:tcPr>
          <w:p w14:paraId="2110197D" w14:textId="77777777" w:rsidR="003D4CFD" w:rsidRPr="004D70F4" w:rsidRDefault="003D4CFD" w:rsidP="0066027B">
            <w:pPr>
              <w:pStyle w:val="TableText"/>
              <w:keepNext/>
              <w:jc w:val="center"/>
              <w:rPr>
                <w:b/>
                <w:bCs/>
                <w:vertAlign w:val="superscript"/>
              </w:rPr>
            </w:pPr>
            <w:r w:rsidRPr="004D70F4">
              <w:rPr>
                <w:b/>
              </w:rPr>
              <w:t>Chemotherapy</w:t>
            </w:r>
          </w:p>
          <w:p w14:paraId="01AE8D8E" w14:textId="77777777" w:rsidR="003D4CFD" w:rsidRPr="004D70F4" w:rsidRDefault="003D4CFD" w:rsidP="0066027B">
            <w:pPr>
              <w:pStyle w:val="TableText"/>
              <w:keepNext/>
              <w:jc w:val="center"/>
              <w:rPr>
                <w:b/>
                <w:bCs/>
              </w:rPr>
            </w:pPr>
            <w:r w:rsidRPr="004D70F4">
              <w:rPr>
                <w:b/>
              </w:rPr>
              <w:t>N=28</w:t>
            </w:r>
          </w:p>
        </w:tc>
        <w:tc>
          <w:tcPr>
            <w:tcW w:w="514" w:type="pct"/>
            <w:vAlign w:val="center"/>
          </w:tcPr>
          <w:p w14:paraId="20793C75" w14:textId="77777777" w:rsidR="003D4CFD" w:rsidRPr="004D70F4" w:rsidRDefault="003D4CFD" w:rsidP="0066027B">
            <w:pPr>
              <w:pStyle w:val="TableText"/>
              <w:keepNext/>
              <w:jc w:val="center"/>
              <w:rPr>
                <w:b/>
                <w:bCs/>
              </w:rPr>
            </w:pPr>
            <w:r w:rsidRPr="004D70F4">
              <w:rPr>
                <w:b/>
              </w:rPr>
              <w:t>Olaparib</w:t>
            </w:r>
          </w:p>
          <w:p w14:paraId="66110D00" w14:textId="77777777" w:rsidR="003D4CFD" w:rsidRPr="004D70F4" w:rsidRDefault="003D4CFD" w:rsidP="0066027B">
            <w:pPr>
              <w:pStyle w:val="TableText"/>
              <w:keepNext/>
              <w:jc w:val="center"/>
              <w:rPr>
                <w:b/>
                <w:bCs/>
              </w:rPr>
            </w:pPr>
            <w:r w:rsidRPr="004D70F4">
              <w:rPr>
                <w:b/>
              </w:rPr>
              <w:t>N=146</w:t>
            </w:r>
          </w:p>
        </w:tc>
        <w:tc>
          <w:tcPr>
            <w:tcW w:w="664" w:type="pct"/>
            <w:vAlign w:val="center"/>
          </w:tcPr>
          <w:p w14:paraId="372CA832" w14:textId="77777777" w:rsidR="003D4CFD" w:rsidRPr="004D70F4" w:rsidRDefault="003D4CFD" w:rsidP="0066027B">
            <w:pPr>
              <w:pStyle w:val="TableText"/>
              <w:keepNext/>
              <w:jc w:val="center"/>
              <w:rPr>
                <w:b/>
                <w:bCs/>
                <w:vertAlign w:val="superscript"/>
              </w:rPr>
            </w:pPr>
            <w:r w:rsidRPr="004D70F4">
              <w:rPr>
                <w:b/>
              </w:rPr>
              <w:t>Chemotherapy</w:t>
            </w:r>
          </w:p>
          <w:p w14:paraId="473D4EEB" w14:textId="77777777" w:rsidR="003D4CFD" w:rsidRPr="004D70F4" w:rsidRDefault="003D4CFD" w:rsidP="0066027B">
            <w:pPr>
              <w:pStyle w:val="TableText"/>
              <w:keepNext/>
              <w:jc w:val="center"/>
              <w:rPr>
                <w:b/>
                <w:bCs/>
              </w:rPr>
            </w:pPr>
            <w:r w:rsidRPr="004D70F4">
              <w:rPr>
                <w:b/>
              </w:rPr>
              <w:t>N=69</w:t>
            </w:r>
          </w:p>
        </w:tc>
      </w:tr>
      <w:tr w:rsidR="003D4CFD" w:rsidRPr="004D70F4" w14:paraId="521FB0D8" w14:textId="77777777" w:rsidTr="00583870">
        <w:tc>
          <w:tcPr>
            <w:tcW w:w="1342" w:type="pct"/>
            <w:hideMark/>
          </w:tcPr>
          <w:p w14:paraId="03EE5B97" w14:textId="77777777" w:rsidR="003D4CFD" w:rsidRPr="004D70F4" w:rsidRDefault="003D4CFD" w:rsidP="0066027B">
            <w:pPr>
              <w:pStyle w:val="TableText"/>
              <w:keepNext/>
            </w:pPr>
            <w:r w:rsidRPr="004D70F4">
              <w:t>Total number of deaths, n (%)</w:t>
            </w:r>
            <w:r w:rsidRPr="004D70F4">
              <w:rPr>
                <w:vertAlign w:val="superscript"/>
              </w:rPr>
              <w:t>a</w:t>
            </w:r>
          </w:p>
        </w:tc>
        <w:tc>
          <w:tcPr>
            <w:tcW w:w="608" w:type="pct"/>
            <w:vAlign w:val="center"/>
          </w:tcPr>
          <w:p w14:paraId="6A3C7563" w14:textId="77777777" w:rsidR="003D4CFD" w:rsidRPr="004D70F4" w:rsidRDefault="003D4CFD" w:rsidP="0066027B">
            <w:pPr>
              <w:pStyle w:val="TableText"/>
              <w:keepNext/>
              <w:jc w:val="center"/>
            </w:pPr>
            <w:r w:rsidRPr="004D70F4">
              <w:t>159 (77.6)</w:t>
            </w:r>
          </w:p>
        </w:tc>
        <w:tc>
          <w:tcPr>
            <w:tcW w:w="665" w:type="pct"/>
            <w:vAlign w:val="center"/>
          </w:tcPr>
          <w:p w14:paraId="2C704662" w14:textId="77777777" w:rsidR="003D4CFD" w:rsidRPr="004D70F4" w:rsidRDefault="003D4CFD" w:rsidP="0066027B">
            <w:pPr>
              <w:pStyle w:val="TableText"/>
              <w:keepNext/>
              <w:jc w:val="center"/>
            </w:pPr>
            <w:r w:rsidRPr="004D70F4">
              <w:t>73 (75.3)</w:t>
            </w:r>
          </w:p>
        </w:tc>
        <w:tc>
          <w:tcPr>
            <w:tcW w:w="542" w:type="pct"/>
            <w:vAlign w:val="center"/>
            <w:hideMark/>
          </w:tcPr>
          <w:p w14:paraId="6A48FB42" w14:textId="77777777" w:rsidR="003D4CFD" w:rsidRPr="004D70F4" w:rsidRDefault="003D4CFD" w:rsidP="0066027B">
            <w:pPr>
              <w:pStyle w:val="TableText"/>
              <w:keepNext/>
              <w:jc w:val="center"/>
            </w:pPr>
            <w:r w:rsidRPr="004D70F4">
              <w:t>42 (71.2)</w:t>
            </w:r>
          </w:p>
        </w:tc>
        <w:tc>
          <w:tcPr>
            <w:tcW w:w="664" w:type="pct"/>
            <w:vAlign w:val="center"/>
            <w:hideMark/>
          </w:tcPr>
          <w:p w14:paraId="0CDC1521" w14:textId="77777777" w:rsidR="003D4CFD" w:rsidRPr="004D70F4" w:rsidRDefault="003D4CFD" w:rsidP="0066027B">
            <w:pPr>
              <w:pStyle w:val="TableText"/>
              <w:keepNext/>
              <w:jc w:val="center"/>
            </w:pPr>
            <w:r w:rsidRPr="004D70F4">
              <w:t>22 (78.6)</w:t>
            </w:r>
          </w:p>
        </w:tc>
        <w:tc>
          <w:tcPr>
            <w:tcW w:w="514" w:type="pct"/>
            <w:vAlign w:val="center"/>
          </w:tcPr>
          <w:p w14:paraId="72235A04" w14:textId="77777777" w:rsidR="003D4CFD" w:rsidRPr="004D70F4" w:rsidRDefault="003D4CFD" w:rsidP="0066027B">
            <w:pPr>
              <w:pStyle w:val="TableText"/>
              <w:keepNext/>
              <w:jc w:val="center"/>
            </w:pPr>
            <w:r w:rsidRPr="004D70F4">
              <w:t>117 (80.1)</w:t>
            </w:r>
          </w:p>
        </w:tc>
        <w:tc>
          <w:tcPr>
            <w:tcW w:w="664" w:type="pct"/>
            <w:vAlign w:val="center"/>
          </w:tcPr>
          <w:p w14:paraId="51415326" w14:textId="77777777" w:rsidR="003D4CFD" w:rsidRPr="004D70F4" w:rsidRDefault="003D4CFD" w:rsidP="0066027B">
            <w:pPr>
              <w:pStyle w:val="TableText"/>
              <w:keepNext/>
              <w:jc w:val="center"/>
            </w:pPr>
            <w:r w:rsidRPr="004D70F4">
              <w:t>51 (73.9)</w:t>
            </w:r>
          </w:p>
        </w:tc>
      </w:tr>
      <w:tr w:rsidR="003D4CFD" w:rsidRPr="004D70F4" w14:paraId="40B74DC9" w14:textId="77777777" w:rsidTr="00583870">
        <w:tc>
          <w:tcPr>
            <w:tcW w:w="1342" w:type="pct"/>
            <w:hideMark/>
          </w:tcPr>
          <w:p w14:paraId="24D038B8" w14:textId="77777777" w:rsidR="003D4CFD" w:rsidRPr="004D70F4" w:rsidRDefault="003D4CFD" w:rsidP="0066027B">
            <w:pPr>
              <w:pStyle w:val="TableText"/>
              <w:keepNext/>
            </w:pPr>
            <w:r w:rsidRPr="004D70F4">
              <w:t>Median OS (95% CI), months</w:t>
            </w:r>
            <w:r>
              <w:t xml:space="preserve"> </w:t>
            </w:r>
            <w:r w:rsidRPr="004D70F4">
              <w:rPr>
                <w:vertAlign w:val="superscript"/>
              </w:rPr>
              <w:t>b</w:t>
            </w:r>
          </w:p>
        </w:tc>
        <w:tc>
          <w:tcPr>
            <w:tcW w:w="608" w:type="pct"/>
            <w:vAlign w:val="center"/>
          </w:tcPr>
          <w:p w14:paraId="631CB40C" w14:textId="77777777" w:rsidR="003D4CFD" w:rsidRPr="004D70F4" w:rsidRDefault="003D4CFD" w:rsidP="0066027B">
            <w:pPr>
              <w:pStyle w:val="Tabletext0"/>
              <w:keepNext/>
              <w:jc w:val="center"/>
            </w:pPr>
            <w:r w:rsidRPr="004D70F4">
              <w:t>19.25</w:t>
            </w:r>
          </w:p>
          <w:p w14:paraId="5F341BF4" w14:textId="77777777" w:rsidR="003D4CFD" w:rsidRPr="004D70F4" w:rsidRDefault="003D4CFD" w:rsidP="0066027B">
            <w:pPr>
              <w:pStyle w:val="TableText"/>
              <w:keepNext/>
              <w:jc w:val="center"/>
            </w:pPr>
            <w:r w:rsidRPr="004D70F4">
              <w:t>(17.15, 21.55)</w:t>
            </w:r>
          </w:p>
        </w:tc>
        <w:tc>
          <w:tcPr>
            <w:tcW w:w="665" w:type="pct"/>
            <w:vAlign w:val="center"/>
          </w:tcPr>
          <w:p w14:paraId="6D21598C" w14:textId="77777777" w:rsidR="003D4CFD" w:rsidRPr="004D70F4" w:rsidRDefault="003D4CFD" w:rsidP="0066027B">
            <w:pPr>
              <w:pStyle w:val="Tabletext0"/>
              <w:keepNext/>
              <w:jc w:val="center"/>
            </w:pPr>
            <w:r w:rsidRPr="004D70F4">
              <w:t>17.12</w:t>
            </w:r>
          </w:p>
          <w:p w14:paraId="33753E01" w14:textId="77777777" w:rsidR="003D4CFD" w:rsidRPr="004D70F4" w:rsidRDefault="003D4CFD" w:rsidP="0066027B">
            <w:pPr>
              <w:pStyle w:val="TableText"/>
              <w:keepNext/>
              <w:jc w:val="center"/>
            </w:pPr>
            <w:r w:rsidRPr="004D70F4">
              <w:t>(13.86, 21.85)</w:t>
            </w:r>
          </w:p>
        </w:tc>
        <w:tc>
          <w:tcPr>
            <w:tcW w:w="542" w:type="pct"/>
            <w:vAlign w:val="center"/>
            <w:hideMark/>
          </w:tcPr>
          <w:p w14:paraId="33D886A7" w14:textId="77777777" w:rsidR="003D4CFD" w:rsidRPr="004D70F4" w:rsidRDefault="003D4CFD" w:rsidP="0066027B">
            <w:pPr>
              <w:pStyle w:val="TableText"/>
              <w:keepNext/>
              <w:jc w:val="center"/>
            </w:pPr>
            <w:r w:rsidRPr="004D70F4">
              <w:t>22.6</w:t>
            </w:r>
          </w:p>
          <w:p w14:paraId="14B289CA" w14:textId="77777777" w:rsidR="003D4CFD" w:rsidRPr="004D70F4" w:rsidRDefault="003D4CFD" w:rsidP="0066027B">
            <w:pPr>
              <w:pStyle w:val="TableText"/>
              <w:keepNext/>
              <w:jc w:val="center"/>
            </w:pPr>
            <w:r w:rsidRPr="004D70F4">
              <w:t>(17.8, 36.7)</w:t>
            </w:r>
          </w:p>
        </w:tc>
        <w:tc>
          <w:tcPr>
            <w:tcW w:w="664" w:type="pct"/>
            <w:vAlign w:val="center"/>
            <w:hideMark/>
          </w:tcPr>
          <w:p w14:paraId="205CCB0C" w14:textId="77777777" w:rsidR="003D4CFD" w:rsidRPr="004D70F4" w:rsidRDefault="003D4CFD" w:rsidP="0066027B">
            <w:pPr>
              <w:pStyle w:val="TableText"/>
              <w:keepNext/>
              <w:jc w:val="center"/>
            </w:pPr>
            <w:r w:rsidRPr="004D70F4">
              <w:t>14.7</w:t>
            </w:r>
          </w:p>
          <w:p w14:paraId="22E65BD6" w14:textId="77777777" w:rsidR="003D4CFD" w:rsidRPr="004D70F4" w:rsidRDefault="003D4CFD" w:rsidP="0066027B">
            <w:pPr>
              <w:pStyle w:val="TableText"/>
              <w:keepNext/>
              <w:jc w:val="center"/>
            </w:pPr>
            <w:r w:rsidRPr="004D70F4">
              <w:t>(11.0, 21.3)</w:t>
            </w:r>
          </w:p>
        </w:tc>
        <w:tc>
          <w:tcPr>
            <w:tcW w:w="514" w:type="pct"/>
            <w:vAlign w:val="center"/>
          </w:tcPr>
          <w:p w14:paraId="7A5DD75D" w14:textId="77777777" w:rsidR="003D4CFD" w:rsidRPr="004D70F4" w:rsidRDefault="003D4CFD" w:rsidP="0066027B">
            <w:pPr>
              <w:pStyle w:val="TableText"/>
              <w:keepNext/>
              <w:jc w:val="center"/>
            </w:pPr>
            <w:r w:rsidRPr="004D70F4">
              <w:t>18.8</w:t>
            </w:r>
          </w:p>
          <w:p w14:paraId="7D1BF495" w14:textId="77777777" w:rsidR="003D4CFD" w:rsidRPr="004D70F4" w:rsidRDefault="003D4CFD" w:rsidP="0066027B">
            <w:pPr>
              <w:pStyle w:val="TableText"/>
              <w:keepNext/>
              <w:jc w:val="center"/>
            </w:pPr>
            <w:r w:rsidRPr="004D70F4">
              <w:t>(16.3, 20.4)</w:t>
            </w:r>
          </w:p>
        </w:tc>
        <w:tc>
          <w:tcPr>
            <w:tcW w:w="664" w:type="pct"/>
            <w:vAlign w:val="center"/>
          </w:tcPr>
          <w:p w14:paraId="3482E440" w14:textId="77777777" w:rsidR="003D4CFD" w:rsidRPr="004D70F4" w:rsidRDefault="003D4CFD" w:rsidP="0066027B">
            <w:pPr>
              <w:pStyle w:val="TableText"/>
              <w:keepNext/>
              <w:jc w:val="center"/>
            </w:pPr>
            <w:r w:rsidRPr="004D70F4">
              <w:t>17.2</w:t>
            </w:r>
          </w:p>
          <w:p w14:paraId="1C7B494A" w14:textId="77777777" w:rsidR="003D4CFD" w:rsidRPr="004D70F4" w:rsidRDefault="003D4CFD" w:rsidP="0066027B">
            <w:pPr>
              <w:pStyle w:val="TableText"/>
              <w:keepNext/>
              <w:jc w:val="center"/>
            </w:pPr>
            <w:r w:rsidRPr="004D70F4">
              <w:t>(13.5, 27.2)</w:t>
            </w:r>
          </w:p>
        </w:tc>
      </w:tr>
      <w:tr w:rsidR="003D4CFD" w:rsidRPr="004D70F4" w14:paraId="417F6003" w14:textId="77777777" w:rsidTr="00583870">
        <w:tc>
          <w:tcPr>
            <w:tcW w:w="1342" w:type="pct"/>
          </w:tcPr>
          <w:p w14:paraId="532FF0CF" w14:textId="77777777" w:rsidR="003D4CFD" w:rsidRPr="004D70F4" w:rsidRDefault="003D4CFD" w:rsidP="0066027B">
            <w:pPr>
              <w:pStyle w:val="TableText"/>
              <w:keepNext/>
            </w:pPr>
            <w:r w:rsidRPr="004D70F4">
              <w:t>HR (95% CI)</w:t>
            </w:r>
          </w:p>
        </w:tc>
        <w:tc>
          <w:tcPr>
            <w:tcW w:w="1273" w:type="pct"/>
            <w:gridSpan w:val="2"/>
            <w:vAlign w:val="center"/>
          </w:tcPr>
          <w:p w14:paraId="71361867" w14:textId="77777777" w:rsidR="003D4CFD" w:rsidRPr="004D70F4" w:rsidRDefault="003D4CFD" w:rsidP="0066027B">
            <w:pPr>
              <w:pStyle w:val="TableText"/>
              <w:keepNext/>
              <w:jc w:val="center"/>
            </w:pPr>
            <w:r w:rsidRPr="004D70F4">
              <w:t>0.89 (0.67, 1.18)</w:t>
            </w:r>
          </w:p>
        </w:tc>
        <w:tc>
          <w:tcPr>
            <w:tcW w:w="1206" w:type="pct"/>
            <w:gridSpan w:val="2"/>
            <w:vAlign w:val="center"/>
          </w:tcPr>
          <w:p w14:paraId="43531424" w14:textId="77777777" w:rsidR="003D4CFD" w:rsidRPr="004D70F4" w:rsidRDefault="003D4CFD" w:rsidP="0066027B">
            <w:pPr>
              <w:pStyle w:val="TableText"/>
              <w:keepNext/>
              <w:jc w:val="center"/>
            </w:pPr>
            <w:r w:rsidRPr="004D70F4">
              <w:t>0.55 (0.33, 0.95)</w:t>
            </w:r>
          </w:p>
        </w:tc>
        <w:tc>
          <w:tcPr>
            <w:tcW w:w="1178" w:type="pct"/>
            <w:gridSpan w:val="2"/>
            <w:vAlign w:val="center"/>
          </w:tcPr>
          <w:p w14:paraId="65387222" w14:textId="77777777" w:rsidR="003D4CFD" w:rsidRPr="004D70F4" w:rsidRDefault="003D4CFD" w:rsidP="0066027B">
            <w:pPr>
              <w:pStyle w:val="TableText"/>
              <w:keepNext/>
              <w:jc w:val="center"/>
            </w:pPr>
            <w:r w:rsidRPr="004D70F4">
              <w:t>1.05 (0.76, 1.47)</w:t>
            </w:r>
          </w:p>
        </w:tc>
      </w:tr>
      <w:tr w:rsidR="003D4CFD" w:rsidRPr="004D70F4" w14:paraId="0EA87E78" w14:textId="77777777" w:rsidTr="00583870">
        <w:tc>
          <w:tcPr>
            <w:tcW w:w="1342" w:type="pct"/>
          </w:tcPr>
          <w:p w14:paraId="4E932EE0" w14:textId="77777777" w:rsidR="003D4CFD" w:rsidRPr="004D70F4" w:rsidRDefault="003D4CFD" w:rsidP="0066027B">
            <w:pPr>
              <w:pStyle w:val="TableText"/>
              <w:keepNext/>
            </w:pPr>
            <w:r w:rsidRPr="004D70F4">
              <w:t>p</w:t>
            </w:r>
            <w:r w:rsidRPr="004D70F4">
              <w:noBreakHyphen/>
              <w:t>value (2</w:t>
            </w:r>
            <w:r w:rsidRPr="004D70F4">
              <w:noBreakHyphen/>
              <w:t>sided)</w:t>
            </w:r>
          </w:p>
        </w:tc>
        <w:tc>
          <w:tcPr>
            <w:tcW w:w="1273" w:type="pct"/>
            <w:gridSpan w:val="2"/>
            <w:vAlign w:val="center"/>
          </w:tcPr>
          <w:p w14:paraId="7F7A34C4" w14:textId="77777777" w:rsidR="003D4CFD" w:rsidRPr="004D70F4" w:rsidRDefault="003D4CFD" w:rsidP="0066027B">
            <w:pPr>
              <w:pStyle w:val="TableText"/>
              <w:keepNext/>
              <w:jc w:val="center"/>
            </w:pPr>
            <w:r w:rsidRPr="004D70F4">
              <w:t>0.4167</w:t>
            </w:r>
          </w:p>
        </w:tc>
        <w:tc>
          <w:tcPr>
            <w:tcW w:w="1206" w:type="pct"/>
            <w:gridSpan w:val="2"/>
            <w:vAlign w:val="center"/>
          </w:tcPr>
          <w:p w14:paraId="0E474AE7" w14:textId="77777777" w:rsidR="003D4CFD" w:rsidRPr="004D70F4" w:rsidRDefault="003D4CFD" w:rsidP="0066027B">
            <w:pPr>
              <w:pStyle w:val="TableText"/>
              <w:keepNext/>
              <w:jc w:val="center"/>
            </w:pPr>
            <w:r w:rsidRPr="004D70F4">
              <w:t>NR</w:t>
            </w:r>
          </w:p>
        </w:tc>
        <w:tc>
          <w:tcPr>
            <w:tcW w:w="1178" w:type="pct"/>
            <w:gridSpan w:val="2"/>
            <w:vAlign w:val="center"/>
          </w:tcPr>
          <w:p w14:paraId="60113198" w14:textId="77777777" w:rsidR="003D4CFD" w:rsidRPr="004D70F4" w:rsidRDefault="003D4CFD" w:rsidP="0066027B">
            <w:pPr>
              <w:pStyle w:val="TableText"/>
              <w:keepNext/>
              <w:jc w:val="center"/>
            </w:pPr>
            <w:r w:rsidRPr="004D70F4">
              <w:t>NR</w:t>
            </w:r>
          </w:p>
        </w:tc>
      </w:tr>
      <w:tr w:rsidR="003D4CFD" w:rsidRPr="004D70F4" w14:paraId="38716128" w14:textId="77777777" w:rsidTr="00583870">
        <w:tc>
          <w:tcPr>
            <w:tcW w:w="1342" w:type="pct"/>
          </w:tcPr>
          <w:p w14:paraId="71088ACC" w14:textId="77777777" w:rsidR="003D4CFD" w:rsidRPr="004D70F4" w:rsidRDefault="003D4CFD" w:rsidP="0066027B">
            <w:pPr>
              <w:pStyle w:val="TableText"/>
              <w:keepNext/>
            </w:pPr>
            <w:r w:rsidRPr="004D70F4">
              <w:t>Survival at 6 months, %</w:t>
            </w:r>
          </w:p>
        </w:tc>
        <w:tc>
          <w:tcPr>
            <w:tcW w:w="608" w:type="pct"/>
            <w:vAlign w:val="center"/>
          </w:tcPr>
          <w:p w14:paraId="6FC19FB4" w14:textId="77777777" w:rsidR="003D4CFD" w:rsidRPr="004D70F4" w:rsidRDefault="003D4CFD" w:rsidP="0066027B">
            <w:pPr>
              <w:pStyle w:val="TableText"/>
              <w:keepNext/>
              <w:jc w:val="center"/>
            </w:pPr>
            <w:r w:rsidRPr="004D70F4">
              <w:t>93.1</w:t>
            </w:r>
          </w:p>
        </w:tc>
        <w:tc>
          <w:tcPr>
            <w:tcW w:w="665" w:type="pct"/>
            <w:vAlign w:val="center"/>
          </w:tcPr>
          <w:p w14:paraId="7218B64C" w14:textId="77777777" w:rsidR="003D4CFD" w:rsidRPr="004D70F4" w:rsidRDefault="003D4CFD" w:rsidP="0066027B">
            <w:pPr>
              <w:pStyle w:val="TableText"/>
              <w:keepNext/>
              <w:jc w:val="center"/>
            </w:pPr>
            <w:r w:rsidRPr="004D70F4">
              <w:t>85.8</w:t>
            </w:r>
          </w:p>
        </w:tc>
        <w:tc>
          <w:tcPr>
            <w:tcW w:w="542" w:type="pct"/>
            <w:vAlign w:val="center"/>
          </w:tcPr>
          <w:p w14:paraId="39166FD4" w14:textId="77777777" w:rsidR="003D4CFD" w:rsidRPr="004D70F4" w:rsidRDefault="003D4CFD" w:rsidP="0066027B">
            <w:pPr>
              <w:pStyle w:val="TableText"/>
              <w:keepNext/>
              <w:jc w:val="center"/>
            </w:pPr>
            <w:r w:rsidRPr="004D70F4">
              <w:t>93.2</w:t>
            </w:r>
          </w:p>
        </w:tc>
        <w:tc>
          <w:tcPr>
            <w:tcW w:w="664" w:type="pct"/>
            <w:vAlign w:val="center"/>
          </w:tcPr>
          <w:p w14:paraId="2CCCF959" w14:textId="77777777" w:rsidR="003D4CFD" w:rsidRPr="004D70F4" w:rsidRDefault="003D4CFD" w:rsidP="0066027B">
            <w:pPr>
              <w:pStyle w:val="TableText"/>
              <w:keepNext/>
              <w:jc w:val="center"/>
            </w:pPr>
            <w:r w:rsidRPr="004D70F4">
              <w:t>88.5</w:t>
            </w:r>
          </w:p>
        </w:tc>
        <w:tc>
          <w:tcPr>
            <w:tcW w:w="514" w:type="pct"/>
            <w:vAlign w:val="center"/>
          </w:tcPr>
          <w:p w14:paraId="4E86A34C" w14:textId="77777777" w:rsidR="003D4CFD" w:rsidRPr="004D70F4" w:rsidRDefault="003D4CFD" w:rsidP="0066027B">
            <w:pPr>
              <w:pStyle w:val="TableText"/>
              <w:keepNext/>
              <w:jc w:val="center"/>
            </w:pPr>
            <w:r w:rsidRPr="004D70F4">
              <w:t>93.1</w:t>
            </w:r>
          </w:p>
        </w:tc>
        <w:tc>
          <w:tcPr>
            <w:tcW w:w="664" w:type="pct"/>
            <w:vAlign w:val="center"/>
          </w:tcPr>
          <w:p w14:paraId="1E337DE4" w14:textId="77777777" w:rsidR="003D4CFD" w:rsidRPr="004D70F4" w:rsidRDefault="003D4CFD" w:rsidP="0066027B">
            <w:pPr>
              <w:pStyle w:val="TableText"/>
              <w:keepNext/>
              <w:jc w:val="center"/>
            </w:pPr>
            <w:r w:rsidRPr="004D70F4">
              <w:t>84.9</w:t>
            </w:r>
          </w:p>
        </w:tc>
      </w:tr>
      <w:tr w:rsidR="003D4CFD" w:rsidRPr="004D70F4" w14:paraId="12C21CBC" w14:textId="77777777" w:rsidTr="00583870">
        <w:tc>
          <w:tcPr>
            <w:tcW w:w="1342" w:type="pct"/>
          </w:tcPr>
          <w:p w14:paraId="70A90063" w14:textId="77777777" w:rsidR="003D4CFD" w:rsidRPr="004D70F4" w:rsidRDefault="003D4CFD" w:rsidP="0066027B">
            <w:pPr>
              <w:pStyle w:val="TableText"/>
              <w:keepNext/>
            </w:pPr>
            <w:r w:rsidRPr="004D70F4">
              <w:t>Survival at 12 months, %</w:t>
            </w:r>
          </w:p>
        </w:tc>
        <w:tc>
          <w:tcPr>
            <w:tcW w:w="608" w:type="pct"/>
            <w:vAlign w:val="center"/>
          </w:tcPr>
          <w:p w14:paraId="1E80D366" w14:textId="77777777" w:rsidR="003D4CFD" w:rsidRPr="004D70F4" w:rsidRDefault="003D4CFD" w:rsidP="0066027B">
            <w:pPr>
              <w:pStyle w:val="TableText"/>
              <w:keepNext/>
              <w:jc w:val="center"/>
            </w:pPr>
            <w:r w:rsidRPr="004D70F4">
              <w:t>72.7</w:t>
            </w:r>
          </w:p>
        </w:tc>
        <w:tc>
          <w:tcPr>
            <w:tcW w:w="665" w:type="pct"/>
            <w:vAlign w:val="center"/>
          </w:tcPr>
          <w:p w14:paraId="4F3AA614" w14:textId="77777777" w:rsidR="003D4CFD" w:rsidRPr="004D70F4" w:rsidRDefault="003D4CFD" w:rsidP="0066027B">
            <w:pPr>
              <w:pStyle w:val="TableText"/>
              <w:keepNext/>
              <w:jc w:val="center"/>
            </w:pPr>
            <w:r w:rsidRPr="004D70F4">
              <w:t>69.2</w:t>
            </w:r>
          </w:p>
        </w:tc>
        <w:tc>
          <w:tcPr>
            <w:tcW w:w="542" w:type="pct"/>
            <w:vAlign w:val="center"/>
          </w:tcPr>
          <w:p w14:paraId="180225AF" w14:textId="77777777" w:rsidR="003D4CFD" w:rsidRPr="004D70F4" w:rsidRDefault="003D4CFD" w:rsidP="0066027B">
            <w:pPr>
              <w:pStyle w:val="TableText"/>
              <w:keepNext/>
              <w:jc w:val="center"/>
            </w:pPr>
            <w:r w:rsidRPr="004D70F4">
              <w:t>76.0</w:t>
            </w:r>
          </w:p>
        </w:tc>
        <w:tc>
          <w:tcPr>
            <w:tcW w:w="664" w:type="pct"/>
            <w:vAlign w:val="center"/>
          </w:tcPr>
          <w:p w14:paraId="256C6AF1" w14:textId="77777777" w:rsidR="003D4CFD" w:rsidRPr="004D70F4" w:rsidRDefault="003D4CFD" w:rsidP="0066027B">
            <w:pPr>
              <w:pStyle w:val="TableText"/>
              <w:keepNext/>
              <w:jc w:val="center"/>
            </w:pPr>
            <w:r w:rsidRPr="004D70F4">
              <w:t>65.4</w:t>
            </w:r>
          </w:p>
        </w:tc>
        <w:tc>
          <w:tcPr>
            <w:tcW w:w="514" w:type="pct"/>
            <w:vAlign w:val="center"/>
          </w:tcPr>
          <w:p w14:paraId="4B4F5426" w14:textId="77777777" w:rsidR="003D4CFD" w:rsidRPr="004D70F4" w:rsidRDefault="003D4CFD" w:rsidP="0066027B">
            <w:pPr>
              <w:pStyle w:val="TableText"/>
              <w:keepNext/>
              <w:jc w:val="center"/>
            </w:pPr>
            <w:r w:rsidRPr="004D70F4">
              <w:t>71.4</w:t>
            </w:r>
          </w:p>
        </w:tc>
        <w:tc>
          <w:tcPr>
            <w:tcW w:w="664" w:type="pct"/>
            <w:vAlign w:val="center"/>
          </w:tcPr>
          <w:p w14:paraId="3D5C2347" w14:textId="77777777" w:rsidR="003D4CFD" w:rsidRPr="004D70F4" w:rsidRDefault="003D4CFD" w:rsidP="0066027B">
            <w:pPr>
              <w:pStyle w:val="TableText"/>
              <w:keepNext/>
              <w:jc w:val="center"/>
            </w:pPr>
            <w:r w:rsidRPr="004D70F4">
              <w:t>70.8</w:t>
            </w:r>
          </w:p>
        </w:tc>
      </w:tr>
      <w:tr w:rsidR="003D4CFD" w:rsidRPr="004D70F4" w14:paraId="2BC70C2C" w14:textId="77777777" w:rsidTr="00583870">
        <w:tc>
          <w:tcPr>
            <w:tcW w:w="1342" w:type="pct"/>
          </w:tcPr>
          <w:p w14:paraId="3BD505C7" w14:textId="77777777" w:rsidR="003D4CFD" w:rsidRPr="004D70F4" w:rsidRDefault="003D4CFD" w:rsidP="0066027B">
            <w:pPr>
              <w:pStyle w:val="TableText"/>
              <w:keepNext/>
            </w:pPr>
            <w:r w:rsidRPr="004D70F4">
              <w:t>Survival at 18 months, %</w:t>
            </w:r>
          </w:p>
        </w:tc>
        <w:tc>
          <w:tcPr>
            <w:tcW w:w="608" w:type="pct"/>
            <w:vAlign w:val="center"/>
          </w:tcPr>
          <w:p w14:paraId="764B86F2" w14:textId="77777777" w:rsidR="003D4CFD" w:rsidRPr="004D70F4" w:rsidRDefault="003D4CFD" w:rsidP="0066027B">
            <w:pPr>
              <w:pStyle w:val="TableText"/>
              <w:keepNext/>
              <w:jc w:val="center"/>
            </w:pPr>
            <w:r w:rsidRPr="004D70F4">
              <w:t>54.1</w:t>
            </w:r>
          </w:p>
        </w:tc>
        <w:tc>
          <w:tcPr>
            <w:tcW w:w="665" w:type="pct"/>
            <w:vAlign w:val="center"/>
          </w:tcPr>
          <w:p w14:paraId="4A84E215" w14:textId="77777777" w:rsidR="003D4CFD" w:rsidRPr="004D70F4" w:rsidRDefault="003D4CFD" w:rsidP="0066027B">
            <w:pPr>
              <w:pStyle w:val="TableText"/>
              <w:keepNext/>
              <w:jc w:val="center"/>
            </w:pPr>
            <w:r w:rsidRPr="004D70F4">
              <w:t>48.0</w:t>
            </w:r>
          </w:p>
        </w:tc>
        <w:tc>
          <w:tcPr>
            <w:tcW w:w="542" w:type="pct"/>
            <w:vAlign w:val="center"/>
          </w:tcPr>
          <w:p w14:paraId="66E21652" w14:textId="77777777" w:rsidR="003D4CFD" w:rsidRPr="004D70F4" w:rsidRDefault="003D4CFD" w:rsidP="0066027B">
            <w:pPr>
              <w:pStyle w:val="TableText"/>
              <w:keepNext/>
              <w:jc w:val="center"/>
            </w:pPr>
            <w:r w:rsidRPr="004D70F4">
              <w:t>62.1</w:t>
            </w:r>
          </w:p>
        </w:tc>
        <w:tc>
          <w:tcPr>
            <w:tcW w:w="664" w:type="pct"/>
            <w:vAlign w:val="center"/>
          </w:tcPr>
          <w:p w14:paraId="0A7F27B3" w14:textId="77777777" w:rsidR="003D4CFD" w:rsidRPr="004D70F4" w:rsidRDefault="003D4CFD" w:rsidP="0066027B">
            <w:pPr>
              <w:pStyle w:val="TableText"/>
              <w:keepNext/>
              <w:jc w:val="center"/>
            </w:pPr>
            <w:r w:rsidRPr="004D70F4">
              <w:t>46.2</w:t>
            </w:r>
          </w:p>
        </w:tc>
        <w:tc>
          <w:tcPr>
            <w:tcW w:w="514" w:type="pct"/>
            <w:vAlign w:val="center"/>
          </w:tcPr>
          <w:p w14:paraId="4B22C4AF" w14:textId="77777777" w:rsidR="003D4CFD" w:rsidRPr="004D70F4" w:rsidRDefault="003D4CFD" w:rsidP="0066027B">
            <w:pPr>
              <w:pStyle w:val="TableText"/>
              <w:keepNext/>
              <w:jc w:val="center"/>
            </w:pPr>
            <w:r w:rsidRPr="004D70F4">
              <w:t>50.8</w:t>
            </w:r>
          </w:p>
        </w:tc>
        <w:tc>
          <w:tcPr>
            <w:tcW w:w="664" w:type="pct"/>
            <w:vAlign w:val="center"/>
          </w:tcPr>
          <w:p w14:paraId="0FE0526E" w14:textId="77777777" w:rsidR="003D4CFD" w:rsidRPr="004D70F4" w:rsidRDefault="003D4CFD" w:rsidP="0066027B">
            <w:pPr>
              <w:pStyle w:val="TableText"/>
              <w:keepNext/>
              <w:jc w:val="center"/>
            </w:pPr>
            <w:r w:rsidRPr="004D70F4">
              <w:t>48.8</w:t>
            </w:r>
          </w:p>
        </w:tc>
      </w:tr>
      <w:tr w:rsidR="003D4CFD" w:rsidRPr="004D70F4" w14:paraId="6B4C8D51" w14:textId="77777777" w:rsidTr="00583870">
        <w:tc>
          <w:tcPr>
            <w:tcW w:w="1342" w:type="pct"/>
          </w:tcPr>
          <w:p w14:paraId="0E2AAF08" w14:textId="77777777" w:rsidR="003D4CFD" w:rsidRPr="004D70F4" w:rsidRDefault="003D4CFD" w:rsidP="0066027B">
            <w:pPr>
              <w:pStyle w:val="TableText"/>
              <w:keepNext/>
            </w:pPr>
            <w:r w:rsidRPr="004D70F4">
              <w:t>Survival at 24 months, %</w:t>
            </w:r>
          </w:p>
        </w:tc>
        <w:tc>
          <w:tcPr>
            <w:tcW w:w="608" w:type="pct"/>
            <w:vAlign w:val="center"/>
          </w:tcPr>
          <w:p w14:paraId="16897E7B" w14:textId="77777777" w:rsidR="003D4CFD" w:rsidRPr="004D70F4" w:rsidRDefault="003D4CFD" w:rsidP="0066027B">
            <w:pPr>
              <w:pStyle w:val="TableText"/>
              <w:keepNext/>
              <w:jc w:val="center"/>
            </w:pPr>
            <w:r w:rsidRPr="004D70F4">
              <w:t>39.0</w:t>
            </w:r>
          </w:p>
        </w:tc>
        <w:tc>
          <w:tcPr>
            <w:tcW w:w="665" w:type="pct"/>
            <w:vAlign w:val="center"/>
          </w:tcPr>
          <w:p w14:paraId="33C5ED7B" w14:textId="77777777" w:rsidR="003D4CFD" w:rsidRPr="004D70F4" w:rsidRDefault="003D4CFD" w:rsidP="0066027B">
            <w:pPr>
              <w:pStyle w:val="TableText"/>
              <w:keepNext/>
              <w:jc w:val="center"/>
            </w:pPr>
            <w:r w:rsidRPr="004D70F4">
              <w:t>39.1</w:t>
            </w:r>
          </w:p>
        </w:tc>
        <w:tc>
          <w:tcPr>
            <w:tcW w:w="542" w:type="pct"/>
            <w:vAlign w:val="center"/>
          </w:tcPr>
          <w:p w14:paraId="4B345562" w14:textId="77777777" w:rsidR="003D4CFD" w:rsidRPr="004D70F4" w:rsidRDefault="003D4CFD" w:rsidP="0066027B">
            <w:pPr>
              <w:pStyle w:val="TableText"/>
              <w:keepNext/>
              <w:jc w:val="center"/>
            </w:pPr>
            <w:r w:rsidRPr="004D70F4">
              <w:t>48.1</w:t>
            </w:r>
          </w:p>
        </w:tc>
        <w:tc>
          <w:tcPr>
            <w:tcW w:w="664" w:type="pct"/>
            <w:vAlign w:val="center"/>
          </w:tcPr>
          <w:p w14:paraId="31BC784E" w14:textId="77777777" w:rsidR="003D4CFD" w:rsidRPr="004D70F4" w:rsidRDefault="003D4CFD" w:rsidP="0066027B">
            <w:pPr>
              <w:pStyle w:val="TableText"/>
              <w:keepNext/>
              <w:jc w:val="center"/>
            </w:pPr>
            <w:r w:rsidRPr="004D70F4">
              <w:t>26.9</w:t>
            </w:r>
          </w:p>
        </w:tc>
        <w:tc>
          <w:tcPr>
            <w:tcW w:w="514" w:type="pct"/>
            <w:vAlign w:val="center"/>
          </w:tcPr>
          <w:p w14:paraId="26600ACD" w14:textId="77777777" w:rsidR="003D4CFD" w:rsidRPr="004D70F4" w:rsidRDefault="003D4CFD" w:rsidP="0066027B">
            <w:pPr>
              <w:pStyle w:val="TableText"/>
              <w:keepNext/>
              <w:jc w:val="center"/>
            </w:pPr>
            <w:r w:rsidRPr="004D70F4">
              <w:t>35.0</w:t>
            </w:r>
          </w:p>
        </w:tc>
        <w:tc>
          <w:tcPr>
            <w:tcW w:w="664" w:type="pct"/>
            <w:vAlign w:val="center"/>
          </w:tcPr>
          <w:p w14:paraId="4D8B125E" w14:textId="77777777" w:rsidR="003D4CFD" w:rsidRPr="004D70F4" w:rsidRDefault="003D4CFD" w:rsidP="0066027B">
            <w:pPr>
              <w:pStyle w:val="TableText"/>
              <w:keepNext/>
              <w:jc w:val="center"/>
            </w:pPr>
            <w:r w:rsidRPr="004D70F4">
              <w:t>44.1</w:t>
            </w:r>
          </w:p>
        </w:tc>
      </w:tr>
      <w:tr w:rsidR="003D4CFD" w:rsidRPr="004D70F4" w14:paraId="520BCF48" w14:textId="77777777" w:rsidTr="00583870">
        <w:tc>
          <w:tcPr>
            <w:tcW w:w="1342" w:type="pct"/>
          </w:tcPr>
          <w:p w14:paraId="72D64F37" w14:textId="77777777" w:rsidR="003D4CFD" w:rsidRPr="004D70F4" w:rsidRDefault="003D4CFD" w:rsidP="0066027B">
            <w:pPr>
              <w:pStyle w:val="TableText"/>
              <w:keepNext/>
            </w:pPr>
            <w:r w:rsidRPr="004D70F4">
              <w:t>Survival at 36 months, %</w:t>
            </w:r>
          </w:p>
        </w:tc>
        <w:tc>
          <w:tcPr>
            <w:tcW w:w="608" w:type="pct"/>
            <w:vAlign w:val="center"/>
          </w:tcPr>
          <w:p w14:paraId="22A9D550" w14:textId="77777777" w:rsidR="003D4CFD" w:rsidRPr="004D70F4" w:rsidRDefault="003D4CFD" w:rsidP="0066027B">
            <w:pPr>
              <w:pStyle w:val="TableText"/>
              <w:keepNext/>
              <w:jc w:val="center"/>
            </w:pPr>
            <w:r w:rsidRPr="004D70F4">
              <w:t>30.8</w:t>
            </w:r>
          </w:p>
        </w:tc>
        <w:tc>
          <w:tcPr>
            <w:tcW w:w="665" w:type="pct"/>
            <w:vAlign w:val="center"/>
          </w:tcPr>
          <w:p w14:paraId="686919EE" w14:textId="77777777" w:rsidR="003D4CFD" w:rsidRPr="004D70F4" w:rsidRDefault="003D4CFD" w:rsidP="0066027B">
            <w:pPr>
              <w:pStyle w:val="TableText"/>
              <w:keepNext/>
              <w:jc w:val="center"/>
            </w:pPr>
            <w:r w:rsidRPr="004D70F4">
              <w:t>25.6</w:t>
            </w:r>
          </w:p>
        </w:tc>
        <w:tc>
          <w:tcPr>
            <w:tcW w:w="542" w:type="pct"/>
            <w:vAlign w:val="center"/>
          </w:tcPr>
          <w:p w14:paraId="23149E52" w14:textId="77777777" w:rsidR="003D4CFD" w:rsidRPr="004D70F4" w:rsidRDefault="003D4CFD" w:rsidP="0066027B">
            <w:pPr>
              <w:pStyle w:val="TableText"/>
              <w:keepNext/>
              <w:jc w:val="center"/>
            </w:pPr>
            <w:r w:rsidRPr="004D70F4">
              <w:t>40.8</w:t>
            </w:r>
          </w:p>
        </w:tc>
        <w:tc>
          <w:tcPr>
            <w:tcW w:w="664" w:type="pct"/>
            <w:vAlign w:val="center"/>
          </w:tcPr>
          <w:p w14:paraId="690A87FA" w14:textId="77777777" w:rsidR="003D4CFD" w:rsidRPr="004D70F4" w:rsidRDefault="003D4CFD" w:rsidP="0066027B">
            <w:pPr>
              <w:pStyle w:val="TableText"/>
              <w:keepNext/>
              <w:jc w:val="center"/>
            </w:pPr>
            <w:r w:rsidRPr="004D70F4">
              <w:t>12.8</w:t>
            </w:r>
          </w:p>
        </w:tc>
        <w:tc>
          <w:tcPr>
            <w:tcW w:w="514" w:type="pct"/>
            <w:vAlign w:val="center"/>
          </w:tcPr>
          <w:p w14:paraId="540F7A01" w14:textId="77777777" w:rsidR="003D4CFD" w:rsidRPr="004D70F4" w:rsidRDefault="003D4CFD" w:rsidP="0066027B">
            <w:pPr>
              <w:pStyle w:val="TableText"/>
              <w:keepNext/>
              <w:jc w:val="center"/>
            </w:pPr>
            <w:r w:rsidRPr="004D70F4">
              <w:t>22.4</w:t>
            </w:r>
          </w:p>
        </w:tc>
        <w:tc>
          <w:tcPr>
            <w:tcW w:w="664" w:type="pct"/>
            <w:vAlign w:val="center"/>
          </w:tcPr>
          <w:p w14:paraId="70C85FB0" w14:textId="77777777" w:rsidR="003D4CFD" w:rsidRPr="004D70F4" w:rsidRDefault="003D4CFD" w:rsidP="0066027B">
            <w:pPr>
              <w:pStyle w:val="TableText"/>
              <w:keepNext/>
              <w:jc w:val="center"/>
            </w:pPr>
            <w:r w:rsidRPr="004D70F4">
              <w:t>24.7</w:t>
            </w:r>
          </w:p>
        </w:tc>
      </w:tr>
      <w:tr w:rsidR="003D4CFD" w:rsidRPr="004D70F4" w14:paraId="2A851DA4" w14:textId="77777777" w:rsidTr="00583870">
        <w:tc>
          <w:tcPr>
            <w:tcW w:w="1342" w:type="pct"/>
          </w:tcPr>
          <w:p w14:paraId="2A1BF006" w14:textId="77777777" w:rsidR="003D4CFD" w:rsidRPr="004D70F4" w:rsidRDefault="003D4CFD" w:rsidP="0066027B">
            <w:pPr>
              <w:pStyle w:val="TableText"/>
              <w:keepNext/>
            </w:pPr>
            <w:r w:rsidRPr="004D70F4">
              <w:t>Survival at 48 months, %</w:t>
            </w:r>
          </w:p>
        </w:tc>
        <w:tc>
          <w:tcPr>
            <w:tcW w:w="608" w:type="pct"/>
            <w:vAlign w:val="center"/>
          </w:tcPr>
          <w:p w14:paraId="0CD3DB1E" w14:textId="77777777" w:rsidR="003D4CFD" w:rsidRPr="004D70F4" w:rsidRDefault="003D4CFD" w:rsidP="0066027B">
            <w:pPr>
              <w:pStyle w:val="TableText"/>
              <w:keepNext/>
              <w:jc w:val="center"/>
            </w:pPr>
            <w:r w:rsidRPr="004D70F4">
              <w:t>27.9</w:t>
            </w:r>
          </w:p>
        </w:tc>
        <w:tc>
          <w:tcPr>
            <w:tcW w:w="665" w:type="pct"/>
            <w:vAlign w:val="center"/>
          </w:tcPr>
          <w:p w14:paraId="3689C592" w14:textId="77777777" w:rsidR="003D4CFD" w:rsidRPr="004D70F4" w:rsidRDefault="003D4CFD" w:rsidP="0066027B">
            <w:pPr>
              <w:pStyle w:val="TableText"/>
              <w:keepNext/>
              <w:jc w:val="center"/>
            </w:pPr>
            <w:r w:rsidRPr="004D70F4">
              <w:t>21.2</w:t>
            </w:r>
          </w:p>
        </w:tc>
        <w:tc>
          <w:tcPr>
            <w:tcW w:w="542" w:type="pct"/>
            <w:vAlign w:val="center"/>
          </w:tcPr>
          <w:p w14:paraId="5E6D4A4E" w14:textId="77777777" w:rsidR="003D4CFD" w:rsidRPr="004D70F4" w:rsidRDefault="003D4CFD" w:rsidP="0066027B">
            <w:pPr>
              <w:pStyle w:val="TableText"/>
              <w:keepNext/>
              <w:jc w:val="center"/>
            </w:pPr>
            <w:r w:rsidRPr="004D70F4">
              <w:t>27.8</w:t>
            </w:r>
          </w:p>
        </w:tc>
        <w:tc>
          <w:tcPr>
            <w:tcW w:w="664" w:type="pct"/>
            <w:vAlign w:val="center"/>
          </w:tcPr>
          <w:p w14:paraId="21C86B21" w14:textId="77777777" w:rsidR="003D4CFD" w:rsidRPr="004D70F4" w:rsidRDefault="003D4CFD" w:rsidP="0066027B">
            <w:pPr>
              <w:pStyle w:val="TableText"/>
              <w:keepNext/>
              <w:jc w:val="center"/>
            </w:pPr>
            <w:r w:rsidRPr="004D70F4">
              <w:t>12.8</w:t>
            </w:r>
          </w:p>
        </w:tc>
        <w:tc>
          <w:tcPr>
            <w:tcW w:w="514" w:type="pct"/>
            <w:vAlign w:val="center"/>
          </w:tcPr>
          <w:p w14:paraId="20C28DD5" w14:textId="77777777" w:rsidR="003D4CFD" w:rsidRPr="004D70F4" w:rsidRDefault="003D4CFD" w:rsidP="0066027B">
            <w:pPr>
              <w:pStyle w:val="TableText"/>
              <w:keepNext/>
              <w:jc w:val="center"/>
            </w:pPr>
            <w:r w:rsidRPr="004D70F4">
              <w:t>16.1</w:t>
            </w:r>
          </w:p>
        </w:tc>
        <w:tc>
          <w:tcPr>
            <w:tcW w:w="664" w:type="pct"/>
            <w:vAlign w:val="center"/>
          </w:tcPr>
          <w:p w14:paraId="62C7EABC" w14:textId="77777777" w:rsidR="003D4CFD" w:rsidRPr="004D70F4" w:rsidRDefault="003D4CFD" w:rsidP="0066027B">
            <w:pPr>
              <w:pStyle w:val="TableText"/>
              <w:keepNext/>
              <w:jc w:val="center"/>
            </w:pPr>
            <w:r w:rsidRPr="004D70F4">
              <w:t>15.8</w:t>
            </w:r>
          </w:p>
        </w:tc>
      </w:tr>
      <w:tr w:rsidR="003D4CFD" w:rsidRPr="004D70F4" w14:paraId="4BE32169" w14:textId="77777777" w:rsidTr="00583870">
        <w:tc>
          <w:tcPr>
            <w:tcW w:w="1342" w:type="pct"/>
          </w:tcPr>
          <w:p w14:paraId="4FCEF345" w14:textId="77777777" w:rsidR="003D4CFD" w:rsidRPr="004D70F4" w:rsidRDefault="003D4CFD" w:rsidP="0066027B">
            <w:pPr>
              <w:pStyle w:val="TableText"/>
              <w:keepNext/>
            </w:pPr>
            <w:r w:rsidRPr="004D70F4">
              <w:t>Survival at 60 months, %</w:t>
            </w:r>
          </w:p>
        </w:tc>
        <w:tc>
          <w:tcPr>
            <w:tcW w:w="608" w:type="pct"/>
            <w:vAlign w:val="center"/>
          </w:tcPr>
          <w:p w14:paraId="51577DF9" w14:textId="77777777" w:rsidR="003D4CFD" w:rsidRPr="004D70F4" w:rsidRDefault="003D4CFD" w:rsidP="0066027B">
            <w:pPr>
              <w:pStyle w:val="TableText"/>
              <w:keepNext/>
              <w:jc w:val="center"/>
            </w:pPr>
            <w:r w:rsidRPr="004D70F4">
              <w:t>23.8</w:t>
            </w:r>
          </w:p>
        </w:tc>
        <w:tc>
          <w:tcPr>
            <w:tcW w:w="665" w:type="pct"/>
            <w:vAlign w:val="center"/>
          </w:tcPr>
          <w:p w14:paraId="2488A67B" w14:textId="77777777" w:rsidR="003D4CFD" w:rsidRPr="004D70F4" w:rsidRDefault="003D4CFD" w:rsidP="0066027B">
            <w:pPr>
              <w:pStyle w:val="TableText"/>
              <w:keepNext/>
              <w:jc w:val="center"/>
            </w:pPr>
            <w:r w:rsidRPr="004D70F4">
              <w:t>18.1</w:t>
            </w:r>
          </w:p>
        </w:tc>
        <w:tc>
          <w:tcPr>
            <w:tcW w:w="542" w:type="pct"/>
            <w:vAlign w:val="center"/>
          </w:tcPr>
          <w:p w14:paraId="29677B2D" w14:textId="77777777" w:rsidR="003D4CFD" w:rsidRPr="004D70F4" w:rsidRDefault="003D4CFD" w:rsidP="0066027B">
            <w:pPr>
              <w:pStyle w:val="TableText"/>
              <w:keepNext/>
              <w:jc w:val="center"/>
            </w:pPr>
            <w:r w:rsidRPr="004D70F4">
              <w:t>18.6</w:t>
            </w:r>
          </w:p>
        </w:tc>
        <w:tc>
          <w:tcPr>
            <w:tcW w:w="664" w:type="pct"/>
            <w:vAlign w:val="center"/>
          </w:tcPr>
          <w:p w14:paraId="01ED338F" w14:textId="77777777" w:rsidR="003D4CFD" w:rsidRPr="004D70F4" w:rsidRDefault="003D4CFD" w:rsidP="0066027B">
            <w:pPr>
              <w:pStyle w:val="TableText"/>
              <w:keepNext/>
              <w:jc w:val="center"/>
            </w:pPr>
            <w:r w:rsidRPr="004D70F4">
              <w:t>NC</w:t>
            </w:r>
          </w:p>
        </w:tc>
        <w:tc>
          <w:tcPr>
            <w:tcW w:w="514" w:type="pct"/>
            <w:vAlign w:val="center"/>
          </w:tcPr>
          <w:p w14:paraId="03DFAFFF" w14:textId="77777777" w:rsidR="003D4CFD" w:rsidRPr="004D70F4" w:rsidRDefault="003D4CFD" w:rsidP="0066027B">
            <w:pPr>
              <w:pStyle w:val="TableText"/>
              <w:keepNext/>
              <w:jc w:val="center"/>
            </w:pPr>
            <w:r w:rsidRPr="004D70F4">
              <w:t>12.3</w:t>
            </w:r>
          </w:p>
        </w:tc>
        <w:tc>
          <w:tcPr>
            <w:tcW w:w="664" w:type="pct"/>
            <w:vAlign w:val="center"/>
          </w:tcPr>
          <w:p w14:paraId="376F8236" w14:textId="77777777" w:rsidR="003D4CFD" w:rsidRPr="004D70F4" w:rsidRDefault="003D4CFD" w:rsidP="0066027B">
            <w:pPr>
              <w:pStyle w:val="TableText"/>
              <w:keepNext/>
              <w:jc w:val="center"/>
            </w:pPr>
            <w:r w:rsidRPr="004D70F4">
              <w:t>15.8</w:t>
            </w:r>
          </w:p>
        </w:tc>
      </w:tr>
      <w:tr w:rsidR="003D4CFD" w:rsidRPr="004D70F4" w14:paraId="5307C950" w14:textId="77777777" w:rsidTr="00583870">
        <w:tc>
          <w:tcPr>
            <w:tcW w:w="1342" w:type="pct"/>
          </w:tcPr>
          <w:p w14:paraId="63859C7F" w14:textId="77777777" w:rsidR="003D4CFD" w:rsidRPr="004D70F4" w:rsidRDefault="003D4CFD" w:rsidP="0066027B">
            <w:pPr>
              <w:pStyle w:val="TableText"/>
              <w:keepNext/>
            </w:pPr>
            <w:r w:rsidRPr="004D70F4">
              <w:t>Median follow-up for OS in all patients, months</w:t>
            </w:r>
          </w:p>
        </w:tc>
        <w:tc>
          <w:tcPr>
            <w:tcW w:w="608" w:type="pct"/>
            <w:vAlign w:val="center"/>
          </w:tcPr>
          <w:p w14:paraId="17D1AECC" w14:textId="77777777" w:rsidR="003D4CFD" w:rsidRPr="004D70F4" w:rsidRDefault="003D4CFD" w:rsidP="0066027B">
            <w:pPr>
              <w:pStyle w:val="TableText"/>
              <w:keepNext/>
              <w:jc w:val="center"/>
            </w:pPr>
            <w:r w:rsidRPr="004D70F4">
              <w:t>19.6</w:t>
            </w:r>
          </w:p>
        </w:tc>
        <w:tc>
          <w:tcPr>
            <w:tcW w:w="665" w:type="pct"/>
            <w:vAlign w:val="center"/>
          </w:tcPr>
          <w:p w14:paraId="622B88D8" w14:textId="77777777" w:rsidR="003D4CFD" w:rsidRPr="004D70F4" w:rsidRDefault="003D4CFD" w:rsidP="0066027B">
            <w:pPr>
              <w:pStyle w:val="TableText"/>
              <w:keepNext/>
              <w:jc w:val="center"/>
            </w:pPr>
            <w:r w:rsidRPr="004D70F4">
              <w:t>14.8</w:t>
            </w:r>
          </w:p>
        </w:tc>
        <w:tc>
          <w:tcPr>
            <w:tcW w:w="542" w:type="pct"/>
            <w:vAlign w:val="center"/>
          </w:tcPr>
          <w:p w14:paraId="3B2DC446" w14:textId="77777777" w:rsidR="003D4CFD" w:rsidRPr="004D70F4" w:rsidRDefault="003D4CFD" w:rsidP="0066027B">
            <w:pPr>
              <w:pStyle w:val="TableText"/>
              <w:keepNext/>
              <w:jc w:val="center"/>
            </w:pPr>
            <w:r w:rsidRPr="004D70F4">
              <w:t>22.05</w:t>
            </w:r>
          </w:p>
        </w:tc>
        <w:tc>
          <w:tcPr>
            <w:tcW w:w="664" w:type="pct"/>
            <w:vAlign w:val="center"/>
          </w:tcPr>
          <w:p w14:paraId="65CF8A4B" w14:textId="77777777" w:rsidR="003D4CFD" w:rsidRPr="004D70F4" w:rsidRDefault="003D4CFD" w:rsidP="0066027B">
            <w:pPr>
              <w:pStyle w:val="TableText"/>
              <w:keepNext/>
              <w:jc w:val="center"/>
            </w:pPr>
            <w:r w:rsidRPr="004D70F4">
              <w:t>14.14</w:t>
            </w:r>
          </w:p>
        </w:tc>
        <w:tc>
          <w:tcPr>
            <w:tcW w:w="514" w:type="pct"/>
            <w:vAlign w:val="center"/>
          </w:tcPr>
          <w:p w14:paraId="65F9496B" w14:textId="77777777" w:rsidR="003D4CFD" w:rsidRPr="004D70F4" w:rsidRDefault="003D4CFD" w:rsidP="0066027B">
            <w:pPr>
              <w:pStyle w:val="TableText"/>
              <w:keepNext/>
              <w:jc w:val="center"/>
            </w:pPr>
            <w:r w:rsidRPr="004D70F4">
              <w:t>17.40</w:t>
            </w:r>
          </w:p>
        </w:tc>
        <w:tc>
          <w:tcPr>
            <w:tcW w:w="664" w:type="pct"/>
            <w:vAlign w:val="center"/>
          </w:tcPr>
          <w:p w14:paraId="27827679" w14:textId="77777777" w:rsidR="003D4CFD" w:rsidRPr="004D70F4" w:rsidRDefault="003D4CFD" w:rsidP="0066027B">
            <w:pPr>
              <w:pStyle w:val="TableText"/>
              <w:keepNext/>
              <w:jc w:val="center"/>
            </w:pPr>
            <w:r w:rsidRPr="004D70F4">
              <w:t>16.76</w:t>
            </w:r>
          </w:p>
        </w:tc>
      </w:tr>
      <w:tr w:rsidR="003D4CFD" w:rsidRPr="004D70F4" w14:paraId="0A3BA51C" w14:textId="77777777" w:rsidTr="00583870">
        <w:tc>
          <w:tcPr>
            <w:tcW w:w="1342" w:type="pct"/>
          </w:tcPr>
          <w:p w14:paraId="6CC2D53B" w14:textId="77777777" w:rsidR="003D4CFD" w:rsidRPr="004D70F4" w:rsidRDefault="003D4CFD" w:rsidP="0066027B">
            <w:pPr>
              <w:pStyle w:val="TableText"/>
              <w:keepNext/>
            </w:pPr>
            <w:r w:rsidRPr="004D70F4">
              <w:t>Median follow-up for OS in censored patients, months</w:t>
            </w:r>
          </w:p>
        </w:tc>
        <w:tc>
          <w:tcPr>
            <w:tcW w:w="608" w:type="pct"/>
            <w:vAlign w:val="center"/>
          </w:tcPr>
          <w:p w14:paraId="097B2A1A" w14:textId="77777777" w:rsidR="003D4CFD" w:rsidRPr="004D70F4" w:rsidRDefault="003D4CFD" w:rsidP="0066027B">
            <w:pPr>
              <w:pStyle w:val="TableText"/>
              <w:keepNext/>
              <w:jc w:val="center"/>
            </w:pPr>
            <w:r w:rsidRPr="004D70F4">
              <w:t>16.9</w:t>
            </w:r>
          </w:p>
        </w:tc>
        <w:tc>
          <w:tcPr>
            <w:tcW w:w="665" w:type="pct"/>
            <w:vAlign w:val="center"/>
          </w:tcPr>
          <w:p w14:paraId="550AF00D" w14:textId="77777777" w:rsidR="003D4CFD" w:rsidRPr="004D70F4" w:rsidRDefault="003D4CFD" w:rsidP="0066027B">
            <w:pPr>
              <w:pStyle w:val="TableText"/>
              <w:keepNext/>
              <w:jc w:val="center"/>
            </w:pPr>
            <w:r w:rsidRPr="004D70F4">
              <w:t>14.8</w:t>
            </w:r>
          </w:p>
        </w:tc>
        <w:tc>
          <w:tcPr>
            <w:tcW w:w="542" w:type="pct"/>
            <w:vAlign w:val="center"/>
          </w:tcPr>
          <w:p w14:paraId="1FA7FCF0" w14:textId="77777777" w:rsidR="003D4CFD" w:rsidRPr="004D70F4" w:rsidRDefault="003D4CFD" w:rsidP="0066027B">
            <w:pPr>
              <w:pStyle w:val="TableText"/>
              <w:keepNext/>
              <w:jc w:val="center"/>
            </w:pPr>
            <w:r w:rsidRPr="004D70F4">
              <w:t>49.81</w:t>
            </w:r>
          </w:p>
        </w:tc>
        <w:tc>
          <w:tcPr>
            <w:tcW w:w="664" w:type="pct"/>
            <w:vAlign w:val="center"/>
          </w:tcPr>
          <w:p w14:paraId="0A9F5157" w14:textId="77777777" w:rsidR="003D4CFD" w:rsidRPr="004D70F4" w:rsidRDefault="003D4CFD" w:rsidP="0066027B">
            <w:pPr>
              <w:pStyle w:val="TableText"/>
              <w:keepNext/>
              <w:jc w:val="center"/>
            </w:pPr>
            <w:r w:rsidRPr="004D70F4">
              <w:t>28.11</w:t>
            </w:r>
          </w:p>
        </w:tc>
        <w:tc>
          <w:tcPr>
            <w:tcW w:w="514" w:type="pct"/>
            <w:vAlign w:val="center"/>
          </w:tcPr>
          <w:p w14:paraId="1D003B64" w14:textId="77777777" w:rsidR="003D4CFD" w:rsidRPr="004D70F4" w:rsidRDefault="003D4CFD" w:rsidP="0066027B">
            <w:pPr>
              <w:pStyle w:val="TableText"/>
              <w:keepNext/>
              <w:jc w:val="center"/>
            </w:pPr>
            <w:r w:rsidRPr="004D70F4">
              <w:t>48.00</w:t>
            </w:r>
          </w:p>
        </w:tc>
        <w:tc>
          <w:tcPr>
            <w:tcW w:w="664" w:type="pct"/>
            <w:vAlign w:val="center"/>
          </w:tcPr>
          <w:p w14:paraId="2CF33B6E" w14:textId="77777777" w:rsidR="003D4CFD" w:rsidRPr="004D70F4" w:rsidRDefault="003D4CFD" w:rsidP="0066027B">
            <w:pPr>
              <w:pStyle w:val="TableText"/>
              <w:keepNext/>
              <w:jc w:val="center"/>
            </w:pPr>
            <w:r w:rsidRPr="004D70F4">
              <w:t>31.72</w:t>
            </w:r>
          </w:p>
        </w:tc>
      </w:tr>
    </w:tbl>
    <w:p w14:paraId="2D39D4DA" w14:textId="5BE9626D" w:rsidR="003D4CFD" w:rsidRPr="004D70F4" w:rsidRDefault="003D4CFD" w:rsidP="0066027B">
      <w:pPr>
        <w:pStyle w:val="FooterTableFigure"/>
        <w:keepNext/>
      </w:pPr>
      <w:r w:rsidRPr="004D70F4">
        <w:t xml:space="preserve">Source: Table 2.20, p74 and Table 2.31, p90 of the submission. </w:t>
      </w:r>
    </w:p>
    <w:p w14:paraId="1EA77315" w14:textId="6A1BA5A9" w:rsidR="003D4CFD" w:rsidRPr="004D70F4" w:rsidRDefault="003D4CFD" w:rsidP="0066027B">
      <w:pPr>
        <w:pStyle w:val="FooterTableFigure"/>
        <w:keepNext/>
      </w:pPr>
      <w:r w:rsidRPr="004D70F4">
        <w:t xml:space="preserve">CI = confidence interval; DCO = data cut-off; HR = hazard ratio; </w:t>
      </w:r>
      <w:r w:rsidR="00FA16DF">
        <w:t xml:space="preserve">mBC= metastatic breast cancer; </w:t>
      </w:r>
      <w:r w:rsidRPr="004D70F4">
        <w:t>NC = not calculable; NR = not reported; OS = overall survival</w:t>
      </w:r>
    </w:p>
    <w:p w14:paraId="18F6B5D6" w14:textId="77777777" w:rsidR="003D4CFD" w:rsidRPr="004D70F4" w:rsidRDefault="003D4CFD" w:rsidP="0066027B">
      <w:pPr>
        <w:pStyle w:val="FooterTableFigure"/>
        <w:keepNext/>
      </w:pPr>
      <w:r w:rsidRPr="004D70F4">
        <w:t>a Overall survival is defined as the time from the date of randomisation until death due to any cause. Patients not known to have died at the time of analysis are censored at the last recorded date on which the patient was known to be alive.</w:t>
      </w:r>
    </w:p>
    <w:p w14:paraId="4BAA97FA" w14:textId="77777777" w:rsidR="003D4CFD" w:rsidRPr="004D70F4" w:rsidRDefault="003D4CFD" w:rsidP="0066027B">
      <w:pPr>
        <w:pStyle w:val="FooterTableFigure"/>
        <w:keepNext/>
      </w:pPr>
      <w:r w:rsidRPr="004D70F4">
        <w:t>b Calculated using the Kaplan-Meier technique.</w:t>
      </w:r>
    </w:p>
    <w:p w14:paraId="6A95255D" w14:textId="77D95688" w:rsidR="003D4CFD" w:rsidRPr="00531D7B" w:rsidRDefault="003D4CFD" w:rsidP="003D4CFD">
      <w:pPr>
        <w:rPr>
          <w:color w:val="0066FF"/>
        </w:rPr>
      </w:pPr>
      <w:r w:rsidRPr="004D70F4">
        <w:t xml:space="preserve">The submission </w:t>
      </w:r>
      <w:r>
        <w:t xml:space="preserve">argued </w:t>
      </w:r>
      <w:r w:rsidRPr="004D70F4">
        <w:t xml:space="preserve">that the OS </w:t>
      </w:r>
      <w:r>
        <w:t xml:space="preserve">in the </w:t>
      </w:r>
      <w:r w:rsidRPr="004D70F4">
        <w:t xml:space="preserve">whole trial comparison may have been confounded by an imbalance between treatment arms in the use of subsequent therapies following progression. Specifically, more patients in the chemotherapy arm received PARP inhibitors, platinum-based therapy, and cytotoxic chemotherapy after disease progression on the assigned treatment, compared to the olaparib arm. Subsequent PARP inhibitor use post-discontinuation was reported for </w:t>
      </w:r>
      <w:r w:rsidR="001D638C">
        <w:t xml:space="preserve">eight </w:t>
      </w:r>
      <w:r w:rsidRPr="004D70F4">
        <w:t xml:space="preserve">(8.2%) patients in the chemotherapy arm and </w:t>
      </w:r>
      <w:r w:rsidR="001D638C">
        <w:t>two</w:t>
      </w:r>
      <w:r w:rsidR="001D638C" w:rsidRPr="004D70F4">
        <w:t xml:space="preserve"> </w:t>
      </w:r>
      <w:r w:rsidRPr="004D70F4">
        <w:t xml:space="preserve">(1.0%) patients in the olaparib arm in the final OS analysis. </w:t>
      </w:r>
    </w:p>
    <w:p w14:paraId="76C74EED" w14:textId="2245DB6D" w:rsidR="003D4CFD" w:rsidRPr="00907F39" w:rsidRDefault="00907F39" w:rsidP="003D4CFD">
      <w:pPr>
        <w:rPr>
          <w:color w:val="0066FF"/>
        </w:rPr>
      </w:pPr>
      <w:bookmarkStart w:id="33" w:name="_Ref164723425"/>
      <w:r w:rsidRPr="00907F39">
        <w:t>The commentary considered that this</w:t>
      </w:r>
      <w:r w:rsidR="003D4CFD" w:rsidRPr="00907F39">
        <w:t xml:space="preserve"> was not reasonable. The use of subsequent cancer treatments actually appeared to favour the olaparib arm in OlympiAD after accounting for continued use of study treatment after discontinuation, as 37 (18.1%) patients in the olaparib arm at the final PFS DCO ‘continued study treatment’ after a protocol defined discontinuation, such that these patients were effectively using subsequent PARP inhibitor but were not included as such. Nonetheless, the lack of difference in OS HRs between the final OS (0.90) and extended OS (0.89) analyses despite the claimed differences in subsequent PARP inhibitor use in between the final OS (8% in chemotherapy arm) and the extended OS (12% in chemotherapy arm) casts uncertainty as to the effect of subsequent PARP inhibitor on OS.</w:t>
      </w:r>
      <w:bookmarkEnd w:id="33"/>
      <w:r w:rsidR="003D4CFD" w:rsidRPr="00907F39">
        <w:t xml:space="preserve"> </w:t>
      </w:r>
    </w:p>
    <w:p w14:paraId="572BDAC0" w14:textId="6260FBCA" w:rsidR="003D4CFD" w:rsidRPr="00907F39" w:rsidRDefault="003D4CFD" w:rsidP="003D4CFD">
      <w:bookmarkStart w:id="34" w:name="_Ref164724870"/>
      <w:r w:rsidRPr="00907F39">
        <w:t xml:space="preserve">Further, acknowledging that the numerical differences in OS between the olaparib and chemotherapy arms in the subgroup of patients with no prior chemotherapy in the metastatic setting at the final OS data cut and the extended OS data cut appeared more favourable when compared to the whole trial population and the complement, </w:t>
      </w:r>
      <w:r w:rsidR="00907F39">
        <w:t xml:space="preserve">the commentary </w:t>
      </w:r>
      <w:r w:rsidRPr="00907F39">
        <w:t>stressed that these results are highly uncertain and should not be relied upon given:</w:t>
      </w:r>
      <w:bookmarkEnd w:id="34"/>
    </w:p>
    <w:p w14:paraId="4873CCF1" w14:textId="77777777" w:rsidR="003D4CFD" w:rsidRPr="00907F39" w:rsidRDefault="003D4CFD" w:rsidP="00FF07E6">
      <w:pPr>
        <w:pStyle w:val="ListParagraph"/>
        <w:numPr>
          <w:ilvl w:val="0"/>
          <w:numId w:val="14"/>
        </w:numPr>
      </w:pPr>
      <w:r w:rsidRPr="00907F39">
        <w:lastRenderedPageBreak/>
        <w:t xml:space="preserve">OS results in subgroups should not be considered statistically significant as they have not been formally tested in the trial (and not included in the trial’s hierarchical hypothesis testing strategy). The subgroup with no prior chemotherapy had a relatively small sample size and correspondingly, wide confidence intervals. The CSR cautioned that all subgroup results should only be interpreted to be supportive of the primary PFS outcome; </w:t>
      </w:r>
    </w:p>
    <w:p w14:paraId="1D8A278C" w14:textId="6CFF997F" w:rsidR="003D4CFD" w:rsidRPr="00907F39" w:rsidRDefault="003D4CFD" w:rsidP="00FF07E6">
      <w:pPr>
        <w:pStyle w:val="ListParagraph"/>
        <w:numPr>
          <w:ilvl w:val="0"/>
          <w:numId w:val="14"/>
        </w:numPr>
      </w:pPr>
      <w:r w:rsidRPr="00907F39">
        <w:t xml:space="preserve">The larger median OS difference between treatment arms in the no prior chemotherapy subgroup was driven by both longer olaparib OS (22.6 months) and shorter chemotherapy OS (14.7 months) when compared to the complement subgroup (18.8 and 17.2 months for olaparib and chemotherapy respectively) and the whole trial population (19.25 and 17.12 months for olaparib and chemotherapy respectively). It was unclear why there would be a lower chemotherapy OS in patients with no prior chemotherapy compared to those who had 1-2 lines of prior chemotherapy (difference of 2.5 months, around 30% of the claimed OS benefit associated with olaparib in the no prior chemotherapy subgroup). Instead this suggests that there may be other inherent differences in patients in the no prior chemotherapy subgroup compared to the complement which may have led to the observed difference, and that the OS in the no prior chemotherapy subgroup may be underestimated in OlympiAD. For comparison, the median survival for vinorelbine (one of the chemotherapies used in the comparator arm) in advanced breast cancer (ABC) was 19.3 months in the 96 CA 201 study and 23.9 months in the 97 CA 206 study, which the submission noted included only patients who did not receive any prior chemotherapy for advanced or metastatic disease, though the </w:t>
      </w:r>
      <w:r w:rsidRPr="0066027B">
        <w:rPr>
          <w:i/>
          <w:iCs/>
        </w:rPr>
        <w:t>BRCA</w:t>
      </w:r>
      <w:r w:rsidRPr="00907F39">
        <w:t xml:space="preserve"> status in these patients was unknown;</w:t>
      </w:r>
    </w:p>
    <w:p w14:paraId="581BF236" w14:textId="77777777" w:rsidR="003D4CFD" w:rsidRPr="00907F39" w:rsidRDefault="003D4CFD" w:rsidP="00FF07E6">
      <w:pPr>
        <w:pStyle w:val="ListParagraph"/>
        <w:numPr>
          <w:ilvl w:val="0"/>
          <w:numId w:val="14"/>
        </w:numPr>
      </w:pPr>
      <w:r w:rsidRPr="00907F39">
        <w:t>In the FAS, 72% (148/205) of olaparib patients had ECOG 0 at baseline compared to 64% (62/97) in the chemotherapy arm. In the no prior chemotherapy subgroup, this difference between arms increased further, as 80% (47/59) had ECOG 0 in the olaparib arm versus 61% (17/28) in the chemotherapy arm at baseline. This imbalance likely favoured olaparib and contributed to the observed OS difference in the no prior chemotherapy subgroup;</w:t>
      </w:r>
    </w:p>
    <w:p w14:paraId="4327DEFA" w14:textId="536F031F" w:rsidR="003D4CFD" w:rsidRPr="00907F39" w:rsidRDefault="003D4CFD" w:rsidP="00FF07E6">
      <w:pPr>
        <w:pStyle w:val="ListParagraph"/>
        <w:numPr>
          <w:ilvl w:val="0"/>
          <w:numId w:val="14"/>
        </w:numPr>
      </w:pPr>
      <w:r w:rsidRPr="00907F39">
        <w:t>Similarly, the proportion of patients with ≥2 metastatic sites in the olaparib arm was lower in the no prior chemotherapy subgroup (40/59, 67.8%) than in the whole trial population (159/205, 77.6%). Conversely, the proportion of patients with≥2 metastatic sites in the chemotherapy arm was higher (22/29, 75.8%) in the subgroup than in the whole trial population (72/97, 74.2%). File 2022 reported an increased risk of death with a higher number of metastatic sites, with OS HR of 1.4 (95% CI 1.14-1.84) and 1.5 (95% CI 1.15-1.92) for having two and three metastatic sites, respectively, using one metastatic site as the baseline. As such, this imbalance also favoured olaparib and likely biased the OS results in favour of olaparib in the no prior chemotherapy subgroup; and</w:t>
      </w:r>
    </w:p>
    <w:p w14:paraId="6BA20318" w14:textId="77777777" w:rsidR="003D4CFD" w:rsidRPr="00907F39" w:rsidRDefault="003D4CFD" w:rsidP="00FF07E6">
      <w:pPr>
        <w:pStyle w:val="ListParagraph"/>
        <w:numPr>
          <w:ilvl w:val="0"/>
          <w:numId w:val="14"/>
        </w:numPr>
      </w:pPr>
      <w:r w:rsidRPr="00907F39">
        <w:t>There was little difference between the point estimate for the PFS HR in the no prior chemotherapy subgroup (PFS HR 0.56, 95% CI 0.34, 0.98) compared to the whole trial population (PFS HR 0.58, 95% CI 0.43, 0.80), or with the prior chemotherapy subgroup (PFS HR 0.65, 95% CI 0.47, 0.91), suggesting this was not a mechanism by which any additional OS benefit was derived. The submission has not proposed a biologically plausible argument as to why an OS benefit was observed only in the subgroup with no prior chemotherapy when the PFS benefit was of similar magnitude across the whole trial, no prior chemotherapy and prior chemotherapy subgroups.</w:t>
      </w:r>
    </w:p>
    <w:p w14:paraId="6C5162FB" w14:textId="77777777" w:rsidR="003D4CFD" w:rsidRPr="004D70F4" w:rsidRDefault="003D4CFD" w:rsidP="0066027B">
      <w:pPr>
        <w:pStyle w:val="Heading3"/>
      </w:pPr>
      <w:bookmarkStart w:id="35" w:name="_Toc165368722"/>
      <w:r>
        <w:t>Health-related quality of life</w:t>
      </w:r>
      <w:bookmarkEnd w:id="35"/>
    </w:p>
    <w:p w14:paraId="094F2974" w14:textId="587EC4C5" w:rsidR="003D4CFD" w:rsidRPr="00C811C0" w:rsidRDefault="003D4CFD" w:rsidP="003D4CFD">
      <w:r w:rsidRPr="00C34506">
        <w:t xml:space="preserve">The submission discussed results of </w:t>
      </w:r>
      <w:r>
        <w:t>g</w:t>
      </w:r>
      <w:r w:rsidRPr="00C34506">
        <w:t xml:space="preserve">lobal </w:t>
      </w:r>
      <w:r>
        <w:t>health-related quality of life (</w:t>
      </w:r>
      <w:r w:rsidRPr="00C34506">
        <w:t>HRQoL</w:t>
      </w:r>
      <w:r>
        <w:t>)</w:t>
      </w:r>
      <w:r w:rsidRPr="00C34506">
        <w:t xml:space="preserve"> evaluated based on the European Organisation for Research and Treatment of Cancer Quality of Life Questionnaire Core 30-item module (EORTC QLQ C3). </w:t>
      </w:r>
      <w:r w:rsidRPr="00C811C0">
        <w:t xml:space="preserve">The CSR stated that this outcome was not formally tested and as such the p-values should be interpreted with caution. Additionally, the CSR cautioned that as this was an open-label study design with patients being aware of their </w:t>
      </w:r>
      <w:r w:rsidRPr="00C811C0">
        <w:lastRenderedPageBreak/>
        <w:t>treatment arm allocation, the patient</w:t>
      </w:r>
      <w:r w:rsidR="009B2212">
        <w:t>-</w:t>
      </w:r>
      <w:r w:rsidRPr="00C811C0">
        <w:t>reported outcome results are less robust and need to be interpreted with caution. The CSR also noted that after the first year (from Visit 24 onwards), EORTC QLQ-C30 compliance fell below 50% at some visits in both treatment arms and therefore the results should be considered more uncertain after this time point.</w:t>
      </w:r>
    </w:p>
    <w:p w14:paraId="3CF5FAC4" w14:textId="77777777" w:rsidR="003D4CFD" w:rsidRPr="004B596E" w:rsidRDefault="003D4CFD" w:rsidP="003D4CFD">
      <w:r w:rsidRPr="004B596E">
        <w:t xml:space="preserve">The mean score on the QLQ-C30 at baseline was 63.2 (SD=21.0) in the olaparib arm and 63.3 (SD=21.2) in the chemotherapy arm. The adjusted mean change from baseline across all time points was 3.9 (SE=1.2) in the olaparib arm (among the 191 patients who completed the questionnaire at baseline and at least once thereafter) and -3.6 (SE=2.2) in the chemotherapy arm (among 73 patients), corresponding to an estimated mean difference of 7.5 points (95% CI: 2.5, 12.4; p=0.004). </w:t>
      </w:r>
    </w:p>
    <w:p w14:paraId="43A210D0" w14:textId="77777777" w:rsidR="003D4CFD" w:rsidRPr="00B32625" w:rsidRDefault="003D4CFD" w:rsidP="003D4CFD">
      <w:r w:rsidRPr="004B596E">
        <w:t xml:space="preserve">The submission claimed that the QLQ-C30 results showed a statistically and clinically significant improvement in QoL favouring olaparib treatment. </w:t>
      </w:r>
      <w:r w:rsidRPr="0066027B">
        <w:t>Osoba 1998</w:t>
      </w:r>
      <w:r w:rsidRPr="0066027B">
        <w:rPr>
          <w:rStyle w:val="FootnoteReference"/>
        </w:rPr>
        <w:footnoteReference w:id="11"/>
      </w:r>
      <w:r w:rsidRPr="0066027B">
        <w:t xml:space="preserve"> reported a change of 5-10 points in the EORTC-QLQC30 as a small change, however statistical significance could not be concluded as QLQ-C30 was not part of the sequential hypothesis testing of OlympiAD.</w:t>
      </w:r>
    </w:p>
    <w:p w14:paraId="3B6BCCB6" w14:textId="59CBCAF5" w:rsidR="003D4CFD" w:rsidRPr="004B596E" w:rsidRDefault="003D4CFD" w:rsidP="003D4CFD">
      <w:r w:rsidRPr="004B596E">
        <w:t>In the olaparib arm</w:t>
      </w:r>
      <w:r>
        <w:t>,</w:t>
      </w:r>
      <w:r w:rsidRPr="004B596E">
        <w:t xml:space="preserve"> 69/205 (33.7%) patients compared with 13/97 (13.4%) patients in the chemotherapy arm showed improvement in the global health status/QoL score best overall QoL response (2 visit responses of ‘improved’ a minimum of 21 days apart without an intervening response of ‘deterioration’). The proportion of patients with no change or deterioration (at least a 10-point decrease) was generally more favourable for the olaparib arm (41.5% no change; 11.7% deterioration) compared with the chemotherapy arm (25.8% no change; 19.6% deterioration)</w:t>
      </w:r>
      <w:r w:rsidR="00B32625">
        <w:t>.</w:t>
      </w:r>
    </w:p>
    <w:p w14:paraId="31993118" w14:textId="4BA75E8D" w:rsidR="003D4CFD" w:rsidRPr="004B596E" w:rsidRDefault="003D4CFD" w:rsidP="003D4CFD">
      <w:r w:rsidRPr="004B596E">
        <w:t xml:space="preserve">The submission stated that the median time to a ≥10 point decrease in QLQ-C30 score was not reached in the olaparib arm and was 15.3 months in the chemotherapy arm (HR= 0.44; 95% CI: 0.25, 0.77; p=0.0043). </w:t>
      </w:r>
      <w:r w:rsidR="00C811C0" w:rsidRPr="00C811C0">
        <w:t>The commentary noted, however, that</w:t>
      </w:r>
      <w:r w:rsidRPr="00C811C0">
        <w:t xml:space="preserve"> neither arm reached 50% of patients with events. Consequently, the median time </w:t>
      </w:r>
      <w:r w:rsidR="00B32625">
        <w:t xml:space="preserve">to </w:t>
      </w:r>
      <w:r w:rsidRPr="00C811C0">
        <w:t>≥</w:t>
      </w:r>
      <w:r w:rsidR="00B32625">
        <w:t>1</w:t>
      </w:r>
      <w:r w:rsidRPr="00C811C0">
        <w:t>0 point decrease could not be verified during the evaluation. Additionally, as the comparison was based on available (under median) event data, it may be immature and uncertain.</w:t>
      </w:r>
      <w:r w:rsidRPr="004B596E">
        <w:t xml:space="preserve"> </w:t>
      </w:r>
    </w:p>
    <w:p w14:paraId="1E5EB17E" w14:textId="124FAAC9" w:rsidR="003D4CFD" w:rsidRDefault="003D4CFD" w:rsidP="003D4CFD">
      <w:pPr>
        <w:rPr>
          <w:i/>
          <w:iCs/>
        </w:rPr>
      </w:pPr>
      <w:r w:rsidRPr="004B596E">
        <w:t xml:space="preserve">The submission stated that this </w:t>
      </w:r>
      <w:r w:rsidR="006A68AB" w:rsidRPr="004B596E">
        <w:t>represent</w:t>
      </w:r>
      <w:r w:rsidR="006A68AB">
        <w:t>ed</w:t>
      </w:r>
      <w:r w:rsidR="006A68AB" w:rsidRPr="004B596E">
        <w:t xml:space="preserve"> </w:t>
      </w:r>
      <w:r w:rsidRPr="004B596E">
        <w:t>a nominally statistically significant delay in the time to HRQoL deterioration in the olaparib arm compared with chemotherapy.</w:t>
      </w:r>
      <w:r>
        <w:t xml:space="preserve"> </w:t>
      </w:r>
      <w:r w:rsidRPr="00C811C0">
        <w:t>The EORTC-QLQC30 results from OlympiAD primary PFS DCO were used to inform the economic model</w:t>
      </w:r>
      <w:r>
        <w:rPr>
          <w:i/>
          <w:iCs/>
        </w:rPr>
        <w:t xml:space="preserve">. </w:t>
      </w:r>
    </w:p>
    <w:p w14:paraId="213924C6" w14:textId="11D5654C" w:rsidR="00772829" w:rsidRDefault="00772829" w:rsidP="0066027B">
      <w:pPr>
        <w:pStyle w:val="Heading3"/>
      </w:pPr>
      <w:r w:rsidRPr="00223664">
        <w:t>Clinical claim</w:t>
      </w:r>
    </w:p>
    <w:p w14:paraId="5B663F1C" w14:textId="198D8A05" w:rsidR="00110CE8" w:rsidRDefault="00110CE8" w:rsidP="00110CE8">
      <w:r>
        <w:t>The submission made the following clinical claims regarding olaparib:</w:t>
      </w:r>
    </w:p>
    <w:p w14:paraId="7C8FFCE8" w14:textId="6FAB0292" w:rsidR="00110CE8" w:rsidRDefault="00110CE8" w:rsidP="00FF07E6">
      <w:pPr>
        <w:pStyle w:val="ListParagraph"/>
        <w:numPr>
          <w:ilvl w:val="0"/>
          <w:numId w:val="13"/>
        </w:numPr>
        <w:ind w:left="284" w:hanging="284"/>
      </w:pPr>
      <w:r>
        <w:t xml:space="preserve">In the whole trial population which included patients with HER2-negative mBC with a confirmed </w:t>
      </w:r>
      <w:r w:rsidRPr="0066027B">
        <w:rPr>
          <w:i/>
          <w:iCs/>
        </w:rPr>
        <w:t>BRCA1</w:t>
      </w:r>
      <w:r>
        <w:t xml:space="preserve"> or </w:t>
      </w:r>
      <w:r w:rsidRPr="0066027B">
        <w:rPr>
          <w:i/>
          <w:iCs/>
        </w:rPr>
        <w:t>BRCA2</w:t>
      </w:r>
      <w:r>
        <w:t xml:space="preserve"> mutation who had previously received up to two lines of chemotherapy for mBC, olaparib was superior in terms of effectiveness compared with chemotherapy based on PFS and non-inferior in terms of safety compared with chemotherapy. </w:t>
      </w:r>
    </w:p>
    <w:p w14:paraId="1F957625" w14:textId="1CF7F735" w:rsidR="00110CE8" w:rsidRDefault="00110CE8" w:rsidP="00FF07E6">
      <w:pPr>
        <w:pStyle w:val="ListParagraph"/>
        <w:numPr>
          <w:ilvl w:val="0"/>
          <w:numId w:val="13"/>
        </w:numPr>
        <w:ind w:left="284" w:hanging="284"/>
      </w:pPr>
      <w:r>
        <w:t xml:space="preserve">In the subgroup of patients with HER2-negative mBC with a confirmed </w:t>
      </w:r>
      <w:r w:rsidRPr="0066027B">
        <w:rPr>
          <w:i/>
          <w:iCs/>
        </w:rPr>
        <w:t xml:space="preserve">BRCA1 </w:t>
      </w:r>
      <w:r>
        <w:t xml:space="preserve">or </w:t>
      </w:r>
      <w:r w:rsidRPr="0066027B">
        <w:rPr>
          <w:i/>
          <w:iCs/>
        </w:rPr>
        <w:t>BRCA2</w:t>
      </w:r>
      <w:r>
        <w:t xml:space="preserve"> mutation who had not previously received chemotherapy for mBC, olaparib was superior in terms of OS and PFS compared with chemotherapy</w:t>
      </w:r>
      <w:r w:rsidR="00B32625">
        <w:t>.</w:t>
      </w:r>
    </w:p>
    <w:p w14:paraId="4AC10D15" w14:textId="062F2865" w:rsidR="00110CE8" w:rsidRPr="00223664" w:rsidRDefault="00110CE8" w:rsidP="00110CE8">
      <w:r w:rsidRPr="00110CE8">
        <w:t>As the OlympiA</w:t>
      </w:r>
      <w:r>
        <w:t>D</w:t>
      </w:r>
      <w:r w:rsidRPr="00110CE8">
        <w:t xml:space="preserve"> trial enrolled people with </w:t>
      </w:r>
      <w:r>
        <w:t>metastatic</w:t>
      </w:r>
      <w:r w:rsidRPr="00110CE8">
        <w:t xml:space="preserve"> breast cancer who have germline pathogenic or likely pathogenic variants in </w:t>
      </w:r>
      <w:r w:rsidRPr="0066027B">
        <w:rPr>
          <w:i/>
          <w:iCs/>
        </w:rPr>
        <w:t>BRCA1</w:t>
      </w:r>
      <w:r w:rsidRPr="00110CE8">
        <w:t xml:space="preserve"> or </w:t>
      </w:r>
      <w:r w:rsidRPr="0066027B">
        <w:rPr>
          <w:i/>
          <w:iCs/>
        </w:rPr>
        <w:t>BRCA2</w:t>
      </w:r>
      <w:r w:rsidRPr="00110CE8">
        <w:t xml:space="preserve">, </w:t>
      </w:r>
      <w:r w:rsidR="00B32625">
        <w:t xml:space="preserve">the </w:t>
      </w:r>
      <w:r w:rsidRPr="00110CE8">
        <w:t xml:space="preserve">submission did not present evidence on the treatment effect of </w:t>
      </w:r>
      <w:r w:rsidR="00B32625">
        <w:t>o</w:t>
      </w:r>
      <w:r>
        <w:t xml:space="preserve">laparib </w:t>
      </w:r>
      <w:r w:rsidRPr="00110CE8">
        <w:t xml:space="preserve">for patients who were </w:t>
      </w:r>
      <w:r w:rsidRPr="0066027B">
        <w:rPr>
          <w:i/>
          <w:iCs/>
        </w:rPr>
        <w:t>BRCA1/2</w:t>
      </w:r>
      <w:r w:rsidRPr="00110CE8">
        <w:t xml:space="preserve"> positive versus </w:t>
      </w:r>
      <w:r w:rsidRPr="00110CE8">
        <w:lastRenderedPageBreak/>
        <w:t xml:space="preserve">patients who were not </w:t>
      </w:r>
      <w:r w:rsidRPr="0066027B">
        <w:rPr>
          <w:i/>
          <w:iCs/>
        </w:rPr>
        <w:t>BRCA1/2</w:t>
      </w:r>
      <w:r w:rsidRPr="00110CE8">
        <w:t xml:space="preserve"> positive. Thus, an estimate of the variation in this treatment effect due to </w:t>
      </w:r>
      <w:r w:rsidRPr="0066027B">
        <w:rPr>
          <w:i/>
          <w:iCs/>
        </w:rPr>
        <w:t>BRCA1/2</w:t>
      </w:r>
      <w:r w:rsidRPr="00110CE8">
        <w:t xml:space="preserve"> positivity could not be established from the evidence presented.</w:t>
      </w:r>
    </w:p>
    <w:p w14:paraId="0D09C9E4" w14:textId="5A947A71" w:rsidR="00772829" w:rsidRPr="00CE28E3" w:rsidRDefault="00C36633" w:rsidP="002A18BE">
      <w:pPr>
        <w:pStyle w:val="Heading2"/>
        <w:numPr>
          <w:ilvl w:val="0"/>
          <w:numId w:val="0"/>
        </w:numPr>
      </w:pPr>
      <w:bookmarkStart w:id="36" w:name="_Toc69491425"/>
      <w:r>
        <w:t>1</w:t>
      </w:r>
      <w:r w:rsidR="00801332">
        <w:t>3</w:t>
      </w:r>
      <w:r>
        <w:t>.</w:t>
      </w:r>
      <w:r>
        <w:tab/>
      </w:r>
      <w:r w:rsidR="00772829" w:rsidRPr="00CE28E3">
        <w:t>Economic evaluation</w:t>
      </w:r>
      <w:bookmarkEnd w:id="36"/>
    </w:p>
    <w:p w14:paraId="236BFCD8" w14:textId="5A2D5F24" w:rsidR="00650421" w:rsidRDefault="00B42FDB" w:rsidP="0066027B">
      <w:r w:rsidRPr="00B42FDB">
        <w:t xml:space="preserve">The submission </w:t>
      </w:r>
      <w:r w:rsidR="00650421" w:rsidRPr="00650421">
        <w:t xml:space="preserve">presented a cost-utility analysis comparing olaparib with chemotherapy in patients with HER2-negative, </w:t>
      </w:r>
      <w:r w:rsidR="00650421" w:rsidRPr="00650421">
        <w:rPr>
          <w:i/>
          <w:iCs/>
        </w:rPr>
        <w:t>BRCA</w:t>
      </w:r>
      <w:r w:rsidR="00650421" w:rsidRPr="00650421">
        <w:t xml:space="preserve">m mBC who had not previously received chemotherapy in the metastatic setting based on the corresponding subgroup in the OlympiAD trial (hence referred to has the subgroup model). The submission has also presented an additional cost-utility analysis reflective of the whole trial population (hence referred to as the ITT model). </w:t>
      </w:r>
    </w:p>
    <w:p w14:paraId="31DA12FC" w14:textId="7C423E33" w:rsidR="00A44391" w:rsidRPr="00135C3E" w:rsidRDefault="002E2E68" w:rsidP="00135C3E">
      <w:pPr>
        <w:pStyle w:val="Caption"/>
        <w:rPr>
          <w:rFonts w:ascii="Franklin Gothic Book" w:hAnsi="Franklin Gothic Book"/>
          <w:b w:val="0"/>
          <w:bCs w:val="0"/>
          <w:sz w:val="22"/>
          <w:szCs w:val="22"/>
        </w:rPr>
      </w:pPr>
      <w:r w:rsidRPr="002E2E68">
        <w:rPr>
          <w:rFonts w:ascii="Franklin Gothic Book" w:hAnsi="Franklin Gothic Book"/>
          <w:b w:val="0"/>
          <w:bCs w:val="0"/>
          <w:sz w:val="24"/>
          <w:szCs w:val="24"/>
        </w:rPr>
        <w:fldChar w:fldCharType="begin"/>
      </w:r>
      <w:r w:rsidRPr="002E2E68">
        <w:rPr>
          <w:rFonts w:ascii="Franklin Gothic Book" w:hAnsi="Franklin Gothic Book"/>
          <w:b w:val="0"/>
          <w:bCs w:val="0"/>
          <w:sz w:val="24"/>
          <w:szCs w:val="24"/>
        </w:rPr>
        <w:instrText xml:space="preserve"> REF _Ref171521987 \h  \* MERGEFORMAT </w:instrText>
      </w:r>
      <w:r w:rsidRPr="002E2E68">
        <w:rPr>
          <w:rFonts w:ascii="Franklin Gothic Book" w:hAnsi="Franklin Gothic Book"/>
          <w:b w:val="0"/>
          <w:bCs w:val="0"/>
          <w:sz w:val="24"/>
          <w:szCs w:val="24"/>
        </w:rPr>
      </w:r>
      <w:r w:rsidRPr="002E2E68">
        <w:rPr>
          <w:rFonts w:ascii="Franklin Gothic Book" w:hAnsi="Franklin Gothic Book"/>
          <w:b w:val="0"/>
          <w:bCs w:val="0"/>
          <w:sz w:val="24"/>
          <w:szCs w:val="24"/>
        </w:rPr>
        <w:fldChar w:fldCharType="separate"/>
      </w:r>
      <w:r w:rsidR="00325DE1" w:rsidRPr="00AD596B">
        <w:rPr>
          <w:rFonts w:ascii="Franklin Gothic Book" w:hAnsi="Franklin Gothic Book"/>
          <w:b w:val="0"/>
          <w:bCs w:val="0"/>
          <w:sz w:val="22"/>
          <w:szCs w:val="22"/>
        </w:rPr>
        <w:t xml:space="preserve">Table </w:t>
      </w:r>
      <w:r w:rsidR="00325DE1" w:rsidRPr="00AD596B">
        <w:rPr>
          <w:rFonts w:ascii="Franklin Gothic Book" w:hAnsi="Franklin Gothic Book"/>
          <w:b w:val="0"/>
          <w:bCs w:val="0"/>
          <w:noProof/>
          <w:sz w:val="22"/>
          <w:szCs w:val="22"/>
        </w:rPr>
        <w:t>9</w:t>
      </w:r>
      <w:r w:rsidRPr="002E2E68">
        <w:rPr>
          <w:rFonts w:ascii="Franklin Gothic Book" w:hAnsi="Franklin Gothic Book"/>
          <w:b w:val="0"/>
          <w:bCs w:val="0"/>
          <w:sz w:val="24"/>
          <w:szCs w:val="24"/>
        </w:rPr>
        <w:fldChar w:fldCharType="end"/>
      </w:r>
      <w:r w:rsidRPr="002E2E68">
        <w:rPr>
          <w:rFonts w:ascii="Franklin Gothic Book" w:hAnsi="Franklin Gothic Book"/>
          <w:b w:val="0"/>
          <w:bCs w:val="0"/>
          <w:sz w:val="24"/>
          <w:szCs w:val="24"/>
        </w:rPr>
        <w:t xml:space="preserve"> </w:t>
      </w:r>
      <w:r w:rsidR="00A44391" w:rsidRPr="00135C3E">
        <w:rPr>
          <w:rFonts w:ascii="Franklin Gothic Book" w:hAnsi="Franklin Gothic Book"/>
          <w:b w:val="0"/>
          <w:bCs w:val="0"/>
          <w:sz w:val="22"/>
          <w:szCs w:val="22"/>
        </w:rPr>
        <w:t>presents a summary of the overview, key inputs and rationale of the submission’s economic evaluation.</w:t>
      </w:r>
    </w:p>
    <w:p w14:paraId="16171B7A" w14:textId="316092CA" w:rsidR="00A44391" w:rsidRPr="00C811C0" w:rsidRDefault="001D75C6" w:rsidP="001D75C6">
      <w:pPr>
        <w:pStyle w:val="Caption"/>
        <w:rPr>
          <w:rStyle w:val="CommentReference"/>
          <w:b w:val="0"/>
          <w:sz w:val="20"/>
          <w:szCs w:val="20"/>
        </w:rPr>
      </w:pPr>
      <w:bookmarkStart w:id="37" w:name="_Ref171521987"/>
      <w:r>
        <w:t xml:space="preserve">Table </w:t>
      </w:r>
      <w:r w:rsidR="008F6B43">
        <w:fldChar w:fldCharType="begin"/>
      </w:r>
      <w:r w:rsidR="008F6B43">
        <w:instrText xml:space="preserve"> SEQ Table \* ARABIC </w:instrText>
      </w:r>
      <w:r w:rsidR="008F6B43">
        <w:fldChar w:fldCharType="separate"/>
      </w:r>
      <w:r w:rsidR="00325DE1">
        <w:rPr>
          <w:noProof/>
        </w:rPr>
        <w:t>9</w:t>
      </w:r>
      <w:r w:rsidR="008F6B43">
        <w:rPr>
          <w:noProof/>
        </w:rPr>
        <w:fldChar w:fldCharType="end"/>
      </w:r>
      <w:bookmarkEnd w:id="37"/>
      <w:r>
        <w:t xml:space="preserve"> </w:t>
      </w:r>
      <w:r w:rsidR="00A44391" w:rsidRPr="00C811C0">
        <w:rPr>
          <w:rStyle w:val="CommentReference"/>
          <w:sz w:val="20"/>
          <w:szCs w:val="20"/>
        </w:rPr>
        <w:t>Summary of model structure, key inputs and rationale</w:t>
      </w: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30"/>
        <w:gridCol w:w="6570"/>
      </w:tblGrid>
      <w:tr w:rsidR="002A058F" w:rsidRPr="004D70F4" w14:paraId="6999884B" w14:textId="77777777" w:rsidTr="00A44391">
        <w:trPr>
          <w:tblHeader/>
        </w:trPr>
        <w:tc>
          <w:tcPr>
            <w:tcW w:w="1350" w:type="pct"/>
            <w:shd w:val="clear" w:color="auto" w:fill="auto"/>
            <w:vAlign w:val="center"/>
          </w:tcPr>
          <w:p w14:paraId="0F85C734" w14:textId="77777777" w:rsidR="00A44391" w:rsidRPr="004D70F4" w:rsidRDefault="00A44391" w:rsidP="00801332">
            <w:pPr>
              <w:pStyle w:val="In-tableHeading"/>
              <w:rPr>
                <w:lang w:val="en-AU"/>
              </w:rPr>
            </w:pPr>
            <w:r w:rsidRPr="004D70F4">
              <w:rPr>
                <w:lang w:val="en-AU"/>
              </w:rPr>
              <w:t>Component</w:t>
            </w:r>
          </w:p>
        </w:tc>
        <w:tc>
          <w:tcPr>
            <w:tcW w:w="3650" w:type="pct"/>
            <w:shd w:val="clear" w:color="auto" w:fill="auto"/>
            <w:vAlign w:val="center"/>
          </w:tcPr>
          <w:p w14:paraId="1A37CBFE" w14:textId="41C62502" w:rsidR="00A44391" w:rsidRPr="004D70F4" w:rsidRDefault="00A44391" w:rsidP="00801332">
            <w:pPr>
              <w:pStyle w:val="In-tableHeading"/>
              <w:rPr>
                <w:lang w:val="en-AU"/>
              </w:rPr>
            </w:pPr>
            <w:r w:rsidRPr="004D70F4">
              <w:rPr>
                <w:lang w:val="en-AU"/>
              </w:rPr>
              <w:t>Summary</w:t>
            </w:r>
            <w:r w:rsidR="00106504">
              <w:rPr>
                <w:lang w:val="en-AU"/>
              </w:rPr>
              <w:t>/ comment</w:t>
            </w:r>
          </w:p>
        </w:tc>
      </w:tr>
      <w:tr w:rsidR="002A058F" w:rsidRPr="004D70F4" w14:paraId="0CA1F85C" w14:textId="77777777" w:rsidTr="00A44391">
        <w:tc>
          <w:tcPr>
            <w:tcW w:w="1350" w:type="pct"/>
            <w:shd w:val="clear" w:color="auto" w:fill="auto"/>
            <w:vAlign w:val="center"/>
          </w:tcPr>
          <w:p w14:paraId="420E87DA" w14:textId="77777777" w:rsidR="00A44391" w:rsidRPr="004D70F4" w:rsidRDefault="00A44391" w:rsidP="00801332">
            <w:pPr>
              <w:pStyle w:val="TableText"/>
              <w:spacing w:before="0" w:after="0"/>
            </w:pPr>
            <w:r w:rsidRPr="004D70F4">
              <w:t>Treatments</w:t>
            </w:r>
          </w:p>
        </w:tc>
        <w:tc>
          <w:tcPr>
            <w:tcW w:w="3650" w:type="pct"/>
            <w:shd w:val="clear" w:color="auto" w:fill="auto"/>
            <w:vAlign w:val="center"/>
          </w:tcPr>
          <w:p w14:paraId="427E9188" w14:textId="77777777" w:rsidR="00A44391" w:rsidRPr="004D70F4" w:rsidRDefault="00A44391" w:rsidP="00801332">
            <w:pPr>
              <w:pStyle w:val="TableText"/>
              <w:spacing w:before="0" w:after="0"/>
            </w:pPr>
            <w:r w:rsidRPr="004D70F4">
              <w:t>Olaparib versus chemotherapy</w:t>
            </w:r>
          </w:p>
        </w:tc>
      </w:tr>
      <w:tr w:rsidR="002A058F" w:rsidRPr="004D70F4" w14:paraId="7848AF09" w14:textId="77777777" w:rsidTr="00A44391">
        <w:tc>
          <w:tcPr>
            <w:tcW w:w="1350" w:type="pct"/>
            <w:shd w:val="clear" w:color="auto" w:fill="auto"/>
            <w:vAlign w:val="center"/>
          </w:tcPr>
          <w:p w14:paraId="52D141CE" w14:textId="06C164A0" w:rsidR="00A44391" w:rsidRPr="004D70F4" w:rsidRDefault="00A44391" w:rsidP="00801332">
            <w:pPr>
              <w:pStyle w:val="TableText"/>
              <w:spacing w:before="0" w:after="0"/>
            </w:pPr>
            <w:r>
              <w:t>Perspective</w:t>
            </w:r>
          </w:p>
        </w:tc>
        <w:tc>
          <w:tcPr>
            <w:tcW w:w="3650" w:type="pct"/>
            <w:shd w:val="clear" w:color="auto" w:fill="auto"/>
            <w:vAlign w:val="center"/>
          </w:tcPr>
          <w:p w14:paraId="40D64CAF" w14:textId="7B929C54" w:rsidR="00A44391" w:rsidRPr="004D70F4" w:rsidRDefault="00A44391" w:rsidP="00801332">
            <w:pPr>
              <w:pStyle w:val="TableText"/>
              <w:spacing w:before="0" w:after="0"/>
            </w:pPr>
            <w:r>
              <w:t xml:space="preserve">Health system </w:t>
            </w:r>
          </w:p>
        </w:tc>
      </w:tr>
      <w:tr w:rsidR="002A058F" w:rsidRPr="004D70F4" w14:paraId="1D826C37" w14:textId="77777777" w:rsidTr="00A44391">
        <w:tc>
          <w:tcPr>
            <w:tcW w:w="1350" w:type="pct"/>
            <w:shd w:val="clear" w:color="auto" w:fill="auto"/>
            <w:vAlign w:val="center"/>
          </w:tcPr>
          <w:p w14:paraId="3CC18EC1" w14:textId="77777777" w:rsidR="00A44391" w:rsidRPr="004D70F4" w:rsidRDefault="00A44391" w:rsidP="00801332">
            <w:pPr>
              <w:pStyle w:val="TableText"/>
              <w:spacing w:before="0" w:after="0"/>
            </w:pPr>
            <w:r>
              <w:t>Population</w:t>
            </w:r>
          </w:p>
        </w:tc>
        <w:tc>
          <w:tcPr>
            <w:tcW w:w="3650" w:type="pct"/>
            <w:shd w:val="clear" w:color="auto" w:fill="auto"/>
            <w:vAlign w:val="center"/>
          </w:tcPr>
          <w:p w14:paraId="688E57D4" w14:textId="77777777" w:rsidR="00A44391" w:rsidRDefault="00A44391" w:rsidP="00801332">
            <w:pPr>
              <w:pStyle w:val="TableText"/>
              <w:spacing w:before="0" w:after="0"/>
            </w:pPr>
            <w:r>
              <w:t xml:space="preserve">The submission base case was </w:t>
            </w:r>
            <w:r w:rsidRPr="004D4CCB">
              <w:t xml:space="preserve">the subgroup of patients with HER2-negative mBC with a confirmed </w:t>
            </w:r>
            <w:r w:rsidRPr="0066027B">
              <w:rPr>
                <w:i/>
                <w:iCs/>
              </w:rPr>
              <w:t>BRCA1</w:t>
            </w:r>
            <w:r w:rsidRPr="004D4CCB">
              <w:t xml:space="preserve"> or </w:t>
            </w:r>
            <w:r w:rsidRPr="0066027B">
              <w:rPr>
                <w:i/>
                <w:iCs/>
              </w:rPr>
              <w:t xml:space="preserve">BRCA2 </w:t>
            </w:r>
            <w:r w:rsidRPr="004D4CCB">
              <w:t>mutation who had not previously received chemotherapy for mBC</w:t>
            </w:r>
            <w:r>
              <w:t>.</w:t>
            </w:r>
          </w:p>
          <w:p w14:paraId="35692377" w14:textId="77777777" w:rsidR="00A44391" w:rsidRPr="004D70F4" w:rsidRDefault="00A44391" w:rsidP="00801332">
            <w:pPr>
              <w:pStyle w:val="TableText"/>
              <w:spacing w:before="0" w:after="0"/>
            </w:pPr>
            <w:r>
              <w:t>The submission also included results reflective of all patients in the OlympiAD trial. (i.e. those who had received up to two lines of chemotherapy in the metastatic setting.)</w:t>
            </w:r>
          </w:p>
        </w:tc>
      </w:tr>
      <w:tr w:rsidR="002A058F" w:rsidRPr="004D70F4" w14:paraId="753F6C89" w14:textId="77777777" w:rsidTr="00A44391">
        <w:tc>
          <w:tcPr>
            <w:tcW w:w="1350" w:type="pct"/>
            <w:shd w:val="clear" w:color="auto" w:fill="auto"/>
            <w:vAlign w:val="center"/>
          </w:tcPr>
          <w:p w14:paraId="7D06BF41" w14:textId="6A456FCC" w:rsidR="00A44391" w:rsidRDefault="00A44391" w:rsidP="00801332">
            <w:pPr>
              <w:pStyle w:val="TableText"/>
              <w:spacing w:before="0" w:after="0"/>
            </w:pPr>
            <w:r>
              <w:t>Prior testing</w:t>
            </w:r>
          </w:p>
        </w:tc>
        <w:tc>
          <w:tcPr>
            <w:tcW w:w="3650" w:type="pct"/>
            <w:shd w:val="clear" w:color="auto" w:fill="auto"/>
            <w:vAlign w:val="center"/>
          </w:tcPr>
          <w:p w14:paraId="06E40924" w14:textId="3DF2586B" w:rsidR="00A44391" w:rsidRDefault="00A44391" w:rsidP="00801332">
            <w:pPr>
              <w:pStyle w:val="TableText"/>
              <w:spacing w:before="0" w:after="0"/>
            </w:pPr>
            <w:r>
              <w:t xml:space="preserve">Model assumes prior </w:t>
            </w:r>
            <w:r w:rsidRPr="0066027B">
              <w:rPr>
                <w:i/>
                <w:iCs/>
              </w:rPr>
              <w:t>BRCA</w:t>
            </w:r>
            <w:r>
              <w:t xml:space="preserve"> testing in the early breast cancer setting as well as testing in the metastatic setting </w:t>
            </w:r>
          </w:p>
        </w:tc>
      </w:tr>
      <w:tr w:rsidR="002A058F" w:rsidRPr="004D70F4" w14:paraId="50BEFA94" w14:textId="77777777" w:rsidTr="00A44391">
        <w:tc>
          <w:tcPr>
            <w:tcW w:w="1350" w:type="pct"/>
            <w:shd w:val="clear" w:color="auto" w:fill="auto"/>
            <w:vAlign w:val="center"/>
          </w:tcPr>
          <w:p w14:paraId="2F7E479C" w14:textId="77777777" w:rsidR="00A44391" w:rsidRPr="004D70F4" w:rsidRDefault="00A44391" w:rsidP="00801332">
            <w:pPr>
              <w:pStyle w:val="TableText"/>
              <w:spacing w:before="0" w:after="0"/>
            </w:pPr>
            <w:r w:rsidRPr="004D70F4">
              <w:t>Time horizon</w:t>
            </w:r>
          </w:p>
        </w:tc>
        <w:tc>
          <w:tcPr>
            <w:tcW w:w="3650" w:type="pct"/>
            <w:shd w:val="clear" w:color="auto" w:fill="auto"/>
            <w:vAlign w:val="center"/>
          </w:tcPr>
          <w:p w14:paraId="1A8DE60B" w14:textId="77777777" w:rsidR="00A44391" w:rsidRPr="004D70F4" w:rsidRDefault="00A44391" w:rsidP="00801332">
            <w:pPr>
              <w:pStyle w:val="TableText"/>
              <w:spacing w:before="0" w:after="0"/>
            </w:pPr>
            <w:r w:rsidRPr="004D70F4">
              <w:t>10 years based on median 18 months of follow-up in the Final OS analysis of OlympiAD.</w:t>
            </w:r>
          </w:p>
        </w:tc>
      </w:tr>
      <w:tr w:rsidR="002A058F" w:rsidRPr="004D70F4" w14:paraId="4C7D2CAB" w14:textId="77777777" w:rsidTr="00A44391">
        <w:tc>
          <w:tcPr>
            <w:tcW w:w="1350" w:type="pct"/>
            <w:shd w:val="clear" w:color="auto" w:fill="auto"/>
            <w:vAlign w:val="center"/>
          </w:tcPr>
          <w:p w14:paraId="499FDDA7" w14:textId="77777777" w:rsidR="00A44391" w:rsidRPr="004D70F4" w:rsidRDefault="00A44391" w:rsidP="00801332">
            <w:pPr>
              <w:pStyle w:val="TableText"/>
              <w:spacing w:before="0" w:after="0"/>
            </w:pPr>
            <w:r w:rsidRPr="004D70F4">
              <w:t>Outcomes</w:t>
            </w:r>
          </w:p>
        </w:tc>
        <w:tc>
          <w:tcPr>
            <w:tcW w:w="3650" w:type="pct"/>
            <w:shd w:val="clear" w:color="auto" w:fill="auto"/>
            <w:vAlign w:val="center"/>
          </w:tcPr>
          <w:p w14:paraId="15071A00" w14:textId="77777777" w:rsidR="00A44391" w:rsidRPr="004D70F4" w:rsidRDefault="00A44391" w:rsidP="00801332">
            <w:pPr>
              <w:pStyle w:val="TableText"/>
              <w:spacing w:before="0" w:after="0"/>
            </w:pPr>
            <w:r w:rsidRPr="004D70F4">
              <w:t>Progression-free years gained, life-years gained, quality-adjusted life years gained</w:t>
            </w:r>
          </w:p>
        </w:tc>
      </w:tr>
      <w:tr w:rsidR="002A058F" w:rsidRPr="004D70F4" w14:paraId="72125A85" w14:textId="77777777" w:rsidTr="00A44391">
        <w:trPr>
          <w:trHeight w:val="188"/>
        </w:trPr>
        <w:tc>
          <w:tcPr>
            <w:tcW w:w="1350" w:type="pct"/>
            <w:shd w:val="clear" w:color="auto" w:fill="auto"/>
            <w:vAlign w:val="center"/>
          </w:tcPr>
          <w:p w14:paraId="79277E93" w14:textId="77777777" w:rsidR="00A44391" w:rsidRPr="004D70F4" w:rsidRDefault="00A44391" w:rsidP="00801332">
            <w:pPr>
              <w:pStyle w:val="TableText"/>
              <w:spacing w:before="0" w:after="0"/>
            </w:pPr>
            <w:r w:rsidRPr="004D70F4">
              <w:t>Methods used to generate results</w:t>
            </w:r>
          </w:p>
        </w:tc>
        <w:tc>
          <w:tcPr>
            <w:tcW w:w="3650" w:type="pct"/>
            <w:shd w:val="clear" w:color="auto" w:fill="auto"/>
            <w:vAlign w:val="center"/>
          </w:tcPr>
          <w:p w14:paraId="7B2FC12A" w14:textId="77777777" w:rsidR="00A44391" w:rsidRPr="004D70F4" w:rsidRDefault="00A44391" w:rsidP="00801332">
            <w:pPr>
              <w:pStyle w:val="TableText"/>
              <w:spacing w:before="0" w:after="0"/>
            </w:pPr>
            <w:r w:rsidRPr="004D70F4">
              <w:t>Partitioned survival model</w:t>
            </w:r>
          </w:p>
        </w:tc>
      </w:tr>
      <w:tr w:rsidR="002A058F" w:rsidRPr="004D70F4" w14:paraId="1C3E79F4" w14:textId="77777777" w:rsidTr="00A44391">
        <w:tc>
          <w:tcPr>
            <w:tcW w:w="1350" w:type="pct"/>
            <w:shd w:val="clear" w:color="auto" w:fill="auto"/>
            <w:vAlign w:val="center"/>
          </w:tcPr>
          <w:p w14:paraId="4527A0AB" w14:textId="77777777" w:rsidR="00A44391" w:rsidRPr="004D70F4" w:rsidRDefault="00A44391" w:rsidP="00801332">
            <w:pPr>
              <w:pStyle w:val="TableText"/>
              <w:spacing w:before="0" w:after="0"/>
            </w:pPr>
            <w:r w:rsidRPr="004D70F4">
              <w:t>Health states</w:t>
            </w:r>
          </w:p>
        </w:tc>
        <w:tc>
          <w:tcPr>
            <w:tcW w:w="3650" w:type="pct"/>
            <w:shd w:val="clear" w:color="auto" w:fill="auto"/>
            <w:vAlign w:val="center"/>
          </w:tcPr>
          <w:p w14:paraId="1C4B9FCF" w14:textId="77777777" w:rsidR="00A44391" w:rsidRPr="004D70F4" w:rsidRDefault="00A44391" w:rsidP="00801332">
            <w:pPr>
              <w:pStyle w:val="TableText"/>
              <w:spacing w:before="0" w:after="0"/>
            </w:pPr>
            <w:r w:rsidRPr="004D70F4">
              <w:t>PFS1, PFS2, progressive disease (PD), death</w:t>
            </w:r>
          </w:p>
        </w:tc>
      </w:tr>
      <w:tr w:rsidR="002A058F" w:rsidRPr="004D70F4" w14:paraId="73C09950" w14:textId="77777777" w:rsidTr="00A44391">
        <w:tc>
          <w:tcPr>
            <w:tcW w:w="1350" w:type="pct"/>
            <w:shd w:val="clear" w:color="auto" w:fill="auto"/>
            <w:vAlign w:val="center"/>
          </w:tcPr>
          <w:p w14:paraId="23D9507F" w14:textId="77777777" w:rsidR="00A44391" w:rsidRPr="004D70F4" w:rsidRDefault="00A44391" w:rsidP="00801332">
            <w:pPr>
              <w:pStyle w:val="TableText"/>
              <w:spacing w:before="0" w:after="0"/>
            </w:pPr>
            <w:r w:rsidRPr="004D70F4">
              <w:t>Cycle length</w:t>
            </w:r>
          </w:p>
        </w:tc>
        <w:tc>
          <w:tcPr>
            <w:tcW w:w="3650" w:type="pct"/>
            <w:shd w:val="clear" w:color="auto" w:fill="auto"/>
            <w:vAlign w:val="center"/>
          </w:tcPr>
          <w:p w14:paraId="62F1DD38" w14:textId="77777777" w:rsidR="00A44391" w:rsidRPr="004D70F4" w:rsidRDefault="00A44391" w:rsidP="00801332">
            <w:pPr>
              <w:pStyle w:val="TableText"/>
              <w:spacing w:before="0" w:after="0"/>
            </w:pPr>
            <w:r w:rsidRPr="004D70F4">
              <w:t>1 month</w:t>
            </w:r>
          </w:p>
        </w:tc>
      </w:tr>
      <w:tr w:rsidR="002A058F" w:rsidRPr="004D70F4" w14:paraId="406D6896" w14:textId="77777777" w:rsidTr="00A44391">
        <w:tc>
          <w:tcPr>
            <w:tcW w:w="1350" w:type="pct"/>
            <w:shd w:val="clear" w:color="auto" w:fill="auto"/>
            <w:vAlign w:val="center"/>
          </w:tcPr>
          <w:p w14:paraId="3EC68873" w14:textId="77777777" w:rsidR="00A44391" w:rsidRPr="004D70F4" w:rsidRDefault="00A44391" w:rsidP="00801332">
            <w:pPr>
              <w:pStyle w:val="TableText"/>
              <w:spacing w:before="0" w:after="0"/>
            </w:pPr>
            <w:r w:rsidRPr="004D70F4">
              <w:t>Allocation to health states</w:t>
            </w:r>
          </w:p>
        </w:tc>
        <w:tc>
          <w:tcPr>
            <w:tcW w:w="3650" w:type="pct"/>
            <w:shd w:val="clear" w:color="auto" w:fill="auto"/>
            <w:vAlign w:val="center"/>
          </w:tcPr>
          <w:p w14:paraId="22797083" w14:textId="77777777" w:rsidR="00093CE5" w:rsidRDefault="00A44391" w:rsidP="00801332">
            <w:pPr>
              <w:pStyle w:val="TableText"/>
              <w:spacing w:before="0" w:after="0"/>
            </w:pPr>
            <w:r w:rsidRPr="004D70F4">
              <w:t xml:space="preserve">PFS, PFS2, and OS extrapolated using parametric functions fitted directly to data from OlympiAD. </w:t>
            </w:r>
          </w:p>
          <w:p w14:paraId="616D7D51" w14:textId="35BCAE5A" w:rsidR="00A44391" w:rsidRPr="004D70F4" w:rsidRDefault="00A44391" w:rsidP="00801332">
            <w:pPr>
              <w:pStyle w:val="TableText"/>
              <w:spacing w:before="0" w:after="0"/>
            </w:pPr>
            <w:r w:rsidRPr="004D70F4">
              <w:t>Australian lifetables applied after end of trial follow-up to capture all-cause mortality observed after the trial.</w:t>
            </w:r>
          </w:p>
        </w:tc>
      </w:tr>
      <w:tr w:rsidR="002A058F" w:rsidRPr="004D70F4" w14:paraId="707F1136" w14:textId="77777777" w:rsidTr="00A44391">
        <w:tc>
          <w:tcPr>
            <w:tcW w:w="1350" w:type="pct"/>
            <w:shd w:val="clear" w:color="auto" w:fill="auto"/>
            <w:vAlign w:val="center"/>
          </w:tcPr>
          <w:p w14:paraId="40522C5E" w14:textId="77777777" w:rsidR="00A44391" w:rsidRPr="004D70F4" w:rsidRDefault="00A44391" w:rsidP="00801332">
            <w:pPr>
              <w:pStyle w:val="TableText"/>
              <w:spacing w:before="0" w:after="0"/>
            </w:pPr>
            <w:r w:rsidRPr="004D70F4">
              <w:t>Extrapolation method</w:t>
            </w:r>
          </w:p>
        </w:tc>
        <w:tc>
          <w:tcPr>
            <w:tcW w:w="3650" w:type="pct"/>
            <w:shd w:val="clear" w:color="auto" w:fill="auto"/>
            <w:vAlign w:val="center"/>
          </w:tcPr>
          <w:p w14:paraId="5A2A7CE1" w14:textId="77777777" w:rsidR="00EF2BB1" w:rsidRDefault="00A44391" w:rsidP="00801332">
            <w:pPr>
              <w:pStyle w:val="TableText"/>
              <w:spacing w:before="0" w:after="0"/>
            </w:pPr>
            <w:r w:rsidRPr="004D70F4">
              <w:t xml:space="preserve">In the base case model, the submission extrapolated PFS, OS and PFS2 using a lognormal parametric function in both arms. </w:t>
            </w:r>
          </w:p>
          <w:p w14:paraId="2B7CDEE0" w14:textId="56E63FCD" w:rsidR="00A44391" w:rsidRPr="004D70F4" w:rsidRDefault="00A44391" w:rsidP="00801332">
            <w:pPr>
              <w:pStyle w:val="TableText"/>
              <w:spacing w:before="0" w:after="0"/>
            </w:pPr>
            <w:r w:rsidRPr="004D70F4">
              <w:t xml:space="preserve">In the ITT analysis, a lognormal function was used in all extrapolated curves, except for PFS2, which utilised a generalised gamma function in both arms. </w:t>
            </w:r>
          </w:p>
        </w:tc>
      </w:tr>
      <w:tr w:rsidR="002A058F" w:rsidRPr="004D70F4" w14:paraId="025E7D9B" w14:textId="77777777" w:rsidTr="00A44391">
        <w:tc>
          <w:tcPr>
            <w:tcW w:w="1350" w:type="pct"/>
            <w:shd w:val="clear" w:color="auto" w:fill="auto"/>
            <w:vAlign w:val="center"/>
          </w:tcPr>
          <w:p w14:paraId="55C43CA7" w14:textId="77777777" w:rsidR="00A44391" w:rsidRPr="004D70F4" w:rsidRDefault="00A44391" w:rsidP="00801332">
            <w:pPr>
              <w:pStyle w:val="TableText"/>
              <w:spacing w:before="0" w:after="0"/>
            </w:pPr>
            <w:r w:rsidRPr="004D70F4">
              <w:t>Health related quality of life</w:t>
            </w:r>
          </w:p>
        </w:tc>
        <w:tc>
          <w:tcPr>
            <w:tcW w:w="3650" w:type="pct"/>
            <w:shd w:val="clear" w:color="auto" w:fill="auto"/>
            <w:vAlign w:val="center"/>
          </w:tcPr>
          <w:p w14:paraId="6457AC0E" w14:textId="77777777" w:rsidR="00A44391" w:rsidRPr="004D70F4" w:rsidRDefault="00A44391" w:rsidP="00801332">
            <w:pPr>
              <w:pStyle w:val="TableText"/>
              <w:spacing w:before="0" w:after="0"/>
            </w:pPr>
            <w:r w:rsidRPr="004D70F4">
              <w:t xml:space="preserve">EORTC QLQ-C30 scores from OlympiAD were mapped to EQ-5D-5L based utility values using published mapping algorithms, and the literature for the progressed disease state. </w:t>
            </w:r>
          </w:p>
          <w:p w14:paraId="658DDC08" w14:textId="77777777" w:rsidR="00093CE5" w:rsidRDefault="00A44391" w:rsidP="00801332">
            <w:pPr>
              <w:pStyle w:val="TableText"/>
              <w:spacing w:before="0" w:after="0"/>
            </w:pPr>
            <w:r w:rsidRPr="004D70F4">
              <w:t>The health state utilities were</w:t>
            </w:r>
            <w:r w:rsidR="00093CE5">
              <w:t>:</w:t>
            </w:r>
            <w:r w:rsidRPr="004D70F4">
              <w:t xml:space="preserve"> </w:t>
            </w:r>
          </w:p>
          <w:p w14:paraId="161DC6EB" w14:textId="77777777" w:rsidR="00093CE5" w:rsidRDefault="00A44391" w:rsidP="00801332">
            <w:pPr>
              <w:pStyle w:val="TableText"/>
              <w:numPr>
                <w:ilvl w:val="0"/>
                <w:numId w:val="30"/>
              </w:numPr>
              <w:spacing w:before="0" w:after="0"/>
              <w:ind w:left="357" w:hanging="357"/>
            </w:pPr>
            <w:r w:rsidRPr="004D70F4">
              <w:t xml:space="preserve">PFS1-0.817 for </w:t>
            </w:r>
            <w:r w:rsidR="00EA5027">
              <w:t>o</w:t>
            </w:r>
            <w:r w:rsidRPr="004D70F4">
              <w:t xml:space="preserve">laparib and 0.745 for chemotherapy; </w:t>
            </w:r>
          </w:p>
          <w:p w14:paraId="47066B21" w14:textId="77777777" w:rsidR="00093CE5" w:rsidRDefault="00A44391" w:rsidP="00801332">
            <w:pPr>
              <w:pStyle w:val="TableText"/>
              <w:numPr>
                <w:ilvl w:val="0"/>
                <w:numId w:val="30"/>
              </w:numPr>
              <w:spacing w:before="0" w:after="0"/>
              <w:ind w:left="357" w:hanging="357"/>
            </w:pPr>
            <w:r w:rsidRPr="004D70F4">
              <w:t xml:space="preserve">PFS2 0.749 for olaparib and 0.717 for chemotherapy; </w:t>
            </w:r>
          </w:p>
          <w:p w14:paraId="127089AD" w14:textId="625737D9" w:rsidR="00A44391" w:rsidRPr="004D70F4" w:rsidRDefault="00A44391" w:rsidP="00801332">
            <w:pPr>
              <w:pStyle w:val="TableText"/>
              <w:numPr>
                <w:ilvl w:val="0"/>
                <w:numId w:val="30"/>
              </w:numPr>
              <w:spacing w:before="0" w:after="0"/>
              <w:ind w:left="357" w:hanging="357"/>
            </w:pPr>
            <w:r w:rsidRPr="004D70F4">
              <w:t xml:space="preserve">PD 0.53 for both treatments. </w:t>
            </w:r>
          </w:p>
        </w:tc>
      </w:tr>
      <w:tr w:rsidR="002A058F" w:rsidRPr="004D70F4" w14:paraId="352CA6EC" w14:textId="77777777" w:rsidTr="00A44391">
        <w:tc>
          <w:tcPr>
            <w:tcW w:w="1350" w:type="pct"/>
            <w:shd w:val="clear" w:color="auto" w:fill="auto"/>
            <w:vAlign w:val="center"/>
          </w:tcPr>
          <w:p w14:paraId="7E0548EB" w14:textId="77777777" w:rsidR="00A44391" w:rsidRPr="004D70F4" w:rsidRDefault="00A44391" w:rsidP="00801332">
            <w:pPr>
              <w:pStyle w:val="TableText"/>
              <w:spacing w:before="0" w:after="0"/>
              <w:rPr>
                <w:i/>
                <w:iCs/>
              </w:rPr>
            </w:pPr>
            <w:r w:rsidRPr="004D70F4">
              <w:rPr>
                <w:i/>
                <w:iCs/>
              </w:rPr>
              <w:t xml:space="preserve">BRCA test modelling </w:t>
            </w:r>
          </w:p>
        </w:tc>
        <w:tc>
          <w:tcPr>
            <w:tcW w:w="3650" w:type="pct"/>
            <w:shd w:val="clear" w:color="auto" w:fill="auto"/>
            <w:vAlign w:val="center"/>
          </w:tcPr>
          <w:p w14:paraId="2BCB669F" w14:textId="6E113D6B" w:rsidR="00A44391" w:rsidRPr="00106504" w:rsidRDefault="00A44391" w:rsidP="00801332">
            <w:pPr>
              <w:pStyle w:val="TableText"/>
              <w:spacing w:before="0" w:after="0"/>
            </w:pPr>
            <w:r w:rsidRPr="00106504">
              <w:t xml:space="preserve">Though </w:t>
            </w:r>
            <w:r w:rsidRPr="0066027B">
              <w:rPr>
                <w:i/>
                <w:iCs/>
              </w:rPr>
              <w:t>BRCA</w:t>
            </w:r>
            <w:r w:rsidRPr="00106504">
              <w:t xml:space="preserve"> test costs </w:t>
            </w:r>
            <w:r w:rsidR="00AF5FF1">
              <w:t>we</w:t>
            </w:r>
            <w:r w:rsidRPr="00106504">
              <w:t>re incorporated into the model, neither the diagnostic accuracy of the g</w:t>
            </w:r>
            <w:r w:rsidRPr="0066027B">
              <w:rPr>
                <w:i/>
                <w:iCs/>
              </w:rPr>
              <w:t>BRCA</w:t>
            </w:r>
            <w:r w:rsidRPr="00106504">
              <w:t xml:space="preserve"> test nor the costs/outcomes of non-germline </w:t>
            </w:r>
            <w:r w:rsidRPr="0066027B">
              <w:rPr>
                <w:i/>
                <w:iCs/>
              </w:rPr>
              <w:t>BRCA</w:t>
            </w:r>
            <w:r w:rsidRPr="00106504">
              <w:t xml:space="preserve"> patients </w:t>
            </w:r>
            <w:r w:rsidR="00AF5FF1">
              <w:t>we</w:t>
            </w:r>
            <w:r w:rsidRPr="00106504">
              <w:t xml:space="preserve">re captured in the model. While it was inappropriate for the submission to not have considered test performance in the economic model, it was acknowledged that </w:t>
            </w:r>
            <w:r w:rsidRPr="0066027B">
              <w:rPr>
                <w:i/>
                <w:iCs/>
              </w:rPr>
              <w:t>BRCA</w:t>
            </w:r>
            <w:r w:rsidRPr="00106504">
              <w:t xml:space="preserve"> testing has a high sensitivity and specificity, but omitting testing may have led to the ICER being underestimated as the prevalence of </w:t>
            </w:r>
            <w:r w:rsidRPr="0066027B">
              <w:rPr>
                <w:i/>
                <w:iCs/>
              </w:rPr>
              <w:t>BRCA</w:t>
            </w:r>
            <w:r w:rsidRPr="00106504">
              <w:t xml:space="preserve">m was not considered, which has implications for the number of tests required for each patient treated. </w:t>
            </w:r>
          </w:p>
        </w:tc>
      </w:tr>
    </w:tbl>
    <w:p w14:paraId="0D0C7851" w14:textId="77777777" w:rsidR="00A44391" w:rsidRPr="004D70F4" w:rsidRDefault="00A44391" w:rsidP="00A44391">
      <w:pPr>
        <w:pStyle w:val="FooterTableFigure"/>
      </w:pPr>
      <w:r w:rsidRPr="004D70F4">
        <w:t xml:space="preserve">Source: Table 3.1, p104 of the submission. </w:t>
      </w:r>
    </w:p>
    <w:p w14:paraId="327060F7" w14:textId="77777777" w:rsidR="00A44391" w:rsidRPr="004D70F4" w:rsidRDefault="00A44391" w:rsidP="00A44391">
      <w:pPr>
        <w:pStyle w:val="FooterTableFigure"/>
      </w:pPr>
      <w:r w:rsidRPr="004D70F4">
        <w:t>EORTC QLQ C30 = European Organisation for Research and Treatment of Cancer Quality of Life Questionnaire Core 30-item module; EQ-5D5L = EuroQoL 5 dimension 5 level; OS = overall survival; PFS= progression free survival; PFS2 = time to second progression or death</w:t>
      </w:r>
    </w:p>
    <w:p w14:paraId="3570522B" w14:textId="5579082C" w:rsidR="00B42FDB" w:rsidRDefault="00B42FDB" w:rsidP="0066027B">
      <w:r w:rsidRPr="00B42FDB">
        <w:lastRenderedPageBreak/>
        <w:t xml:space="preserve">The economic evaluation incorporated </w:t>
      </w:r>
      <w:r>
        <w:t xml:space="preserve">costs of </w:t>
      </w:r>
      <w:r w:rsidRPr="0066027B">
        <w:rPr>
          <w:i/>
          <w:iCs/>
        </w:rPr>
        <w:t>BRCA</w:t>
      </w:r>
      <w:r w:rsidRPr="00B42FDB">
        <w:t xml:space="preserve"> testing</w:t>
      </w:r>
      <w:r>
        <w:t xml:space="preserve">, but not accuracy, implicitly assuming 100% test accuracy. </w:t>
      </w:r>
    </w:p>
    <w:p w14:paraId="5B202284" w14:textId="266E250A" w:rsidR="00B42FDB" w:rsidRDefault="00B42FDB" w:rsidP="0066027B">
      <w:r w:rsidRPr="00B42FDB">
        <w:t xml:space="preserve">The submission used a </w:t>
      </w:r>
      <w:r>
        <w:t>partitioned survival model</w:t>
      </w:r>
      <w:r w:rsidRPr="00B42FDB">
        <w:t xml:space="preserve"> to estimate the incremental cost-effectiveness of olaparib versus the nominated main comparator, placebo, in the proposed g</w:t>
      </w:r>
      <w:r w:rsidRPr="0066027B">
        <w:rPr>
          <w:i/>
          <w:iCs/>
        </w:rPr>
        <w:t>BRCA</w:t>
      </w:r>
      <w:r w:rsidR="00535F5C">
        <w:t>m</w:t>
      </w:r>
      <w:r w:rsidRPr="00B42FDB">
        <w:t xml:space="preserve"> variant population.</w:t>
      </w:r>
    </w:p>
    <w:p w14:paraId="52EB8FA0" w14:textId="77777777" w:rsidR="00650421" w:rsidRPr="00650421" w:rsidRDefault="00650421" w:rsidP="0066027B">
      <w:r w:rsidRPr="00650421">
        <w:t>The submission presented a four state partitioned survival model over a time horizon of 10 years, with a monthly cycle length. The health states are defined as follows:</w:t>
      </w:r>
    </w:p>
    <w:p w14:paraId="31F1C0AC" w14:textId="77777777" w:rsidR="00650421" w:rsidRPr="00650421" w:rsidRDefault="00650421" w:rsidP="00FF07E6">
      <w:pPr>
        <w:pStyle w:val="ListParagraph"/>
        <w:numPr>
          <w:ilvl w:val="0"/>
          <w:numId w:val="20"/>
        </w:numPr>
        <w:ind w:left="284" w:hanging="284"/>
      </w:pPr>
      <w:r w:rsidRPr="00650421">
        <w:t xml:space="preserve">PFS1: progression-free survival: A state where patients are free from disease recurrence having received treatment with olaparib or chemotherapy as per the OlympiAD trial. </w:t>
      </w:r>
    </w:p>
    <w:p w14:paraId="22794E45" w14:textId="77777777" w:rsidR="00650421" w:rsidRPr="00650421" w:rsidRDefault="00650421" w:rsidP="00FF07E6">
      <w:pPr>
        <w:pStyle w:val="ListParagraph"/>
        <w:numPr>
          <w:ilvl w:val="0"/>
          <w:numId w:val="20"/>
        </w:numPr>
        <w:ind w:left="284" w:hanging="284"/>
      </w:pPr>
      <w:r w:rsidRPr="00650421">
        <w:t xml:space="preserve">PFS2: A state where patients have experienced recurrence after olaparib or chemotherapy. However, several active therapies are available such as sacituzumab govitecan, aromatase inhibitors, hormonal and endocrine therapy. </w:t>
      </w:r>
    </w:p>
    <w:p w14:paraId="22BC60FE" w14:textId="77777777" w:rsidR="00650421" w:rsidRPr="00650421" w:rsidRDefault="00650421" w:rsidP="00FF07E6">
      <w:pPr>
        <w:pStyle w:val="ListParagraph"/>
        <w:numPr>
          <w:ilvl w:val="0"/>
          <w:numId w:val="20"/>
        </w:numPr>
        <w:ind w:left="284" w:hanging="284"/>
      </w:pPr>
      <w:r w:rsidRPr="00650421">
        <w:t>Progressive disease: A state where few active treatments are available, and patients receive BSC.</w:t>
      </w:r>
    </w:p>
    <w:p w14:paraId="1BF22CE3" w14:textId="734CABEE" w:rsidR="00650421" w:rsidRPr="00C811C0" w:rsidRDefault="00650421" w:rsidP="00FF07E6">
      <w:pPr>
        <w:pStyle w:val="ListParagraph"/>
        <w:numPr>
          <w:ilvl w:val="0"/>
          <w:numId w:val="20"/>
        </w:numPr>
        <w:ind w:left="284" w:hanging="284"/>
      </w:pPr>
      <w:r w:rsidRPr="00650421">
        <w:t xml:space="preserve">Death: Absorbing state for deaths from any cause. </w:t>
      </w:r>
    </w:p>
    <w:p w14:paraId="4D746037" w14:textId="6A8FAB26" w:rsidR="00650421" w:rsidRPr="00650421" w:rsidRDefault="00650421" w:rsidP="0066027B">
      <w:r>
        <w:t xml:space="preserve">The submission did not include a model structure diagram. </w:t>
      </w:r>
      <w:r w:rsidRPr="00650421">
        <w:t xml:space="preserve">The submission assumed that the cost of testing would be $1,200 per test based on the </w:t>
      </w:r>
      <w:r w:rsidR="00AF5FF1">
        <w:t xml:space="preserve">current </w:t>
      </w:r>
      <w:r w:rsidR="00431A6C">
        <w:t xml:space="preserve">fee for </w:t>
      </w:r>
      <w:r w:rsidRPr="00650421">
        <w:t xml:space="preserve">MBS </w:t>
      </w:r>
      <w:r w:rsidR="00532B77">
        <w:t xml:space="preserve">item </w:t>
      </w:r>
      <w:r w:rsidR="00431A6C">
        <w:t>73295</w:t>
      </w:r>
      <w:r w:rsidRPr="00650421">
        <w:t>.</w:t>
      </w:r>
    </w:p>
    <w:p w14:paraId="049C05E9" w14:textId="217793E2" w:rsidR="00650421" w:rsidRPr="00650421" w:rsidRDefault="00650421" w:rsidP="00220CFD">
      <w:r w:rsidRPr="00650421">
        <w:t xml:space="preserve">The </w:t>
      </w:r>
      <w:r w:rsidRPr="00220CFD">
        <w:t>submission assumed that</w:t>
      </w:r>
      <w:r w:rsidRPr="0090680E">
        <w:t xml:space="preserve"> </w:t>
      </w:r>
      <w:r w:rsidR="0090680E" w:rsidRPr="0090680E">
        <w:rPr>
          <w:b/>
          <w:bCs/>
        </w:rPr>
        <w:t>redacted</w:t>
      </w:r>
      <w:r w:rsidRPr="00220CFD">
        <w:t>% of the population would have progressed from early breast cancer</w:t>
      </w:r>
      <w:r w:rsidR="00106504" w:rsidRPr="00220CFD">
        <w:t>,</w:t>
      </w:r>
      <w:r w:rsidRPr="00220CFD">
        <w:t xml:space="preserve"> that </w:t>
      </w:r>
      <w:r w:rsidR="00072D76" w:rsidRPr="00D02DE2">
        <w:t>8</w:t>
      </w:r>
      <w:r w:rsidRPr="00650421">
        <w:t xml:space="preserve">% were HR+ </w:t>
      </w:r>
      <w:r w:rsidRPr="0066027B">
        <w:rPr>
          <w:i/>
          <w:iCs/>
        </w:rPr>
        <w:t>de novo</w:t>
      </w:r>
      <w:r w:rsidRPr="00650421">
        <w:t xml:space="preserve"> patients, and that </w:t>
      </w:r>
      <w:r w:rsidR="00072D76" w:rsidRPr="00D02DE2">
        <w:t>10</w:t>
      </w:r>
      <w:r w:rsidRPr="00650421">
        <w:t xml:space="preserve">% were </w:t>
      </w:r>
      <w:r w:rsidRPr="0066027B">
        <w:rPr>
          <w:i/>
          <w:iCs/>
        </w:rPr>
        <w:t>de novo</w:t>
      </w:r>
      <w:r w:rsidRPr="00650421">
        <w:t xml:space="preserve"> TNBC patients. This was based on calculations using</w:t>
      </w:r>
      <w:r w:rsidR="00450413">
        <w:t>:</w:t>
      </w:r>
    </w:p>
    <w:p w14:paraId="709B6CA5" w14:textId="40163663" w:rsidR="00650421" w:rsidRPr="00650421" w:rsidRDefault="00650421" w:rsidP="00220CFD">
      <w:pPr>
        <w:pStyle w:val="ListParagraph"/>
        <w:numPr>
          <w:ilvl w:val="0"/>
          <w:numId w:val="19"/>
        </w:numPr>
        <w:ind w:left="284" w:hanging="284"/>
      </w:pPr>
      <w:r w:rsidRPr="00650421">
        <w:t>Ipsos data on HR+ (</w:t>
      </w:r>
      <w:r w:rsidR="0090680E" w:rsidRPr="0090680E">
        <w:rPr>
          <w:b/>
          <w:bCs/>
        </w:rPr>
        <w:t>redacted</w:t>
      </w:r>
      <w:r w:rsidRPr="00220CFD">
        <w:t>%) and TNBC+ (</w:t>
      </w:r>
      <w:r w:rsidR="0090680E" w:rsidRPr="0090680E">
        <w:rPr>
          <w:b/>
          <w:bCs/>
        </w:rPr>
        <w:t>redacted</w:t>
      </w:r>
      <w:r w:rsidRPr="0094094D">
        <w:t>%) rates, which could not be verified. The economic model stated this was from Ipsos Q2 2022 data which was not included as an attachment. These rates were adjusted to relative proportions of HR+ (</w:t>
      </w:r>
      <w:r w:rsidR="0090680E" w:rsidRPr="0090680E">
        <w:rPr>
          <w:b/>
          <w:bCs/>
        </w:rPr>
        <w:t>redacted</w:t>
      </w:r>
      <w:r w:rsidRPr="00220CFD">
        <w:t>%) and TNBC (</w:t>
      </w:r>
      <w:r w:rsidR="0090680E" w:rsidRPr="0090680E">
        <w:rPr>
          <w:b/>
          <w:bCs/>
        </w:rPr>
        <w:t>redacted</w:t>
      </w:r>
      <w:r w:rsidRPr="00220CFD">
        <w:t>%</w:t>
      </w:r>
      <w:r w:rsidRPr="0094094D">
        <w:t>);</w:t>
      </w:r>
    </w:p>
    <w:p w14:paraId="15A3EE34" w14:textId="638BC1C0" w:rsidR="00650421" w:rsidRPr="00650421" w:rsidRDefault="00650421" w:rsidP="00220CFD">
      <w:pPr>
        <w:pStyle w:val="ListParagraph"/>
        <w:numPr>
          <w:ilvl w:val="0"/>
          <w:numId w:val="19"/>
        </w:numPr>
        <w:ind w:left="284" w:hanging="284"/>
      </w:pPr>
      <w:r w:rsidRPr="00650421">
        <w:t xml:space="preserve">Stage at diagnosis data were sourced from Cancer Australia (96% Stages 1-3 i.e. eBC: 4% stage 4, i.e. mBC). The eBC estimates were then adjusted to account for progression from eBC to </w:t>
      </w:r>
      <w:r w:rsidR="00452811">
        <w:t>m</w:t>
      </w:r>
      <w:r w:rsidR="00452811" w:rsidRPr="00650421">
        <w:t xml:space="preserve">BC </w:t>
      </w:r>
      <w:r w:rsidRPr="00650421">
        <w:t xml:space="preserve">based on the chemotherapy arm from OlympiA eBC trial at year </w:t>
      </w:r>
      <w:r w:rsidRPr="00220CFD">
        <w:t>four (</w:t>
      </w:r>
      <w:r w:rsidRPr="0090680E">
        <w:t>96</w:t>
      </w:r>
      <w:r w:rsidRPr="00220CFD">
        <w:t xml:space="preserve">% x </w:t>
      </w:r>
      <w:r w:rsidR="0090680E" w:rsidRPr="0090680E">
        <w:rPr>
          <w:b/>
          <w:bCs/>
        </w:rPr>
        <w:t>redacted</w:t>
      </w:r>
      <w:r w:rsidRPr="00220CFD">
        <w:t>%</w:t>
      </w:r>
      <w:r w:rsidRPr="0094094D">
        <w:t xml:space="preserve"> =</w:t>
      </w:r>
      <w:r w:rsidR="0063053C">
        <w:t xml:space="preserve"> </w:t>
      </w:r>
      <w:r w:rsidR="0090680E" w:rsidRPr="0090680E">
        <w:rPr>
          <w:b/>
          <w:bCs/>
        </w:rPr>
        <w:t>redacted</w:t>
      </w:r>
      <w:r w:rsidRPr="0090680E">
        <w:t>%</w:t>
      </w:r>
      <w:r w:rsidRPr="00220CFD">
        <w:t>). The adjusted eBC value (</w:t>
      </w:r>
      <w:r w:rsidR="0090680E" w:rsidRPr="0090680E">
        <w:rPr>
          <w:b/>
          <w:bCs/>
        </w:rPr>
        <w:t>redacted</w:t>
      </w:r>
      <w:r w:rsidRPr="00220CFD">
        <w:t>%) and the mBC value (</w:t>
      </w:r>
      <w:r w:rsidRPr="0090680E">
        <w:t>4</w:t>
      </w:r>
      <w:r w:rsidRPr="00220CFD">
        <w:t>%)</w:t>
      </w:r>
      <w:r w:rsidRPr="00650421">
        <w:t xml:space="preserve"> were then adjusted again for proportional weighting of </w:t>
      </w:r>
      <w:r w:rsidRPr="00220CFD">
        <w:t>eBC (</w:t>
      </w:r>
      <w:r w:rsidR="0090680E" w:rsidRPr="0090680E">
        <w:rPr>
          <w:b/>
          <w:bCs/>
        </w:rPr>
        <w:t>redacted</w:t>
      </w:r>
      <w:r w:rsidRPr="00220CFD">
        <w:t>%) and mBC (</w:t>
      </w:r>
      <w:r w:rsidR="0090680E" w:rsidRPr="0090680E">
        <w:rPr>
          <w:b/>
          <w:bCs/>
        </w:rPr>
        <w:t>redacted</w:t>
      </w:r>
      <w:r w:rsidRPr="00220CFD">
        <w:t>%);</w:t>
      </w:r>
      <w:r w:rsidRPr="00650421">
        <w:t xml:space="preserve"> and</w:t>
      </w:r>
    </w:p>
    <w:p w14:paraId="4CF608E5" w14:textId="2A5E513D" w:rsidR="00650421" w:rsidRPr="00650421" w:rsidRDefault="00650421" w:rsidP="00220CFD">
      <w:pPr>
        <w:pStyle w:val="ListParagraph"/>
        <w:numPr>
          <w:ilvl w:val="0"/>
          <w:numId w:val="19"/>
        </w:numPr>
        <w:ind w:left="284" w:hanging="284"/>
      </w:pPr>
      <w:r w:rsidRPr="00650421">
        <w:t xml:space="preserve">Of </w:t>
      </w:r>
      <w:r w:rsidRPr="00220CFD">
        <w:t xml:space="preserve">the </w:t>
      </w:r>
      <w:r w:rsidR="0090680E" w:rsidRPr="0090680E">
        <w:rPr>
          <w:b/>
          <w:bCs/>
        </w:rPr>
        <w:t>redacted</w:t>
      </w:r>
      <w:r w:rsidRPr="00220CFD">
        <w:t xml:space="preserve">% mBC patients, </w:t>
      </w:r>
      <w:r w:rsidR="00D7236B" w:rsidRPr="00D02DE2">
        <w:t>10</w:t>
      </w:r>
      <w:r w:rsidRPr="00220CFD">
        <w:t>% were calculate</w:t>
      </w:r>
      <w:r w:rsidRPr="00650421">
        <w:t xml:space="preserve">d to be </w:t>
      </w:r>
      <w:r w:rsidRPr="11FAFD31">
        <w:rPr>
          <w:i/>
          <w:iCs/>
        </w:rPr>
        <w:t>de novo</w:t>
      </w:r>
      <w:r w:rsidRPr="00650421">
        <w:t xml:space="preserve"> TNBC (</w:t>
      </w:r>
      <w:r w:rsidR="0090680E" w:rsidRPr="0090680E">
        <w:rPr>
          <w:b/>
          <w:bCs/>
        </w:rPr>
        <w:t>redacted</w:t>
      </w:r>
      <w:r w:rsidRPr="00220CFD">
        <w:t xml:space="preserve">% x </w:t>
      </w:r>
      <w:r w:rsidR="0090680E" w:rsidRPr="0090680E">
        <w:rPr>
          <w:b/>
          <w:bCs/>
        </w:rPr>
        <w:t>redacted</w:t>
      </w:r>
      <w:r w:rsidRPr="00220CFD">
        <w:t xml:space="preserve">% = </w:t>
      </w:r>
      <w:r w:rsidR="00F42BB1" w:rsidRPr="00D02DE2">
        <w:t>10</w:t>
      </w:r>
      <w:r w:rsidRPr="00650421">
        <w:t xml:space="preserve">%), and </w:t>
      </w:r>
      <w:r w:rsidR="00F42BB1" w:rsidRPr="00D02DE2">
        <w:t>8</w:t>
      </w:r>
      <w:r w:rsidRPr="00650421">
        <w:t xml:space="preserve">% were calculated to be </w:t>
      </w:r>
      <w:r w:rsidRPr="11FAFD31">
        <w:rPr>
          <w:i/>
          <w:iCs/>
        </w:rPr>
        <w:t>de novo</w:t>
      </w:r>
      <w:r w:rsidRPr="00650421">
        <w:t xml:space="preserve"> </w:t>
      </w:r>
      <w:r w:rsidR="00452811">
        <w:t>H</w:t>
      </w:r>
      <w:r w:rsidRPr="00650421">
        <w:t>R+ (</w:t>
      </w:r>
      <w:r w:rsidR="0090680E" w:rsidRPr="0090680E">
        <w:rPr>
          <w:b/>
          <w:bCs/>
        </w:rPr>
        <w:t>redacted</w:t>
      </w:r>
      <w:r w:rsidRPr="00220CFD">
        <w:t xml:space="preserve">% x </w:t>
      </w:r>
      <w:r w:rsidR="0090680E" w:rsidRPr="0090680E">
        <w:rPr>
          <w:b/>
          <w:bCs/>
        </w:rPr>
        <w:t>redacted</w:t>
      </w:r>
      <w:r w:rsidRPr="00220CFD">
        <w:t xml:space="preserve">% = </w:t>
      </w:r>
      <w:r w:rsidR="00F42BB1" w:rsidRPr="00D02DE2">
        <w:t>8</w:t>
      </w:r>
      <w:r w:rsidRPr="00220CFD">
        <w:t>%)</w:t>
      </w:r>
      <w:r w:rsidR="00452811" w:rsidRPr="00220CFD">
        <w:t>.</w:t>
      </w:r>
    </w:p>
    <w:p w14:paraId="07DA26B9" w14:textId="0942A011" w:rsidR="00650421" w:rsidRPr="00650421" w:rsidRDefault="00650421" w:rsidP="00220CFD">
      <w:r w:rsidRPr="00650421">
        <w:t>However</w:t>
      </w:r>
      <w:r>
        <w:t xml:space="preserve">, </w:t>
      </w:r>
      <w:r w:rsidRPr="00650421">
        <w:t xml:space="preserve">the proportion of </w:t>
      </w:r>
      <w:r w:rsidRPr="0066027B">
        <w:rPr>
          <w:i/>
          <w:iCs/>
        </w:rPr>
        <w:t>de novo</w:t>
      </w:r>
      <w:r w:rsidRPr="00650421">
        <w:t xml:space="preserve"> patients may be higher in the Australian population than suggested. In the financial estimates, the submission assumed </w:t>
      </w:r>
      <w:r w:rsidRPr="00220CFD">
        <w:t xml:space="preserve">that </w:t>
      </w:r>
      <w:r w:rsidR="00885212" w:rsidRPr="00D02DE2">
        <w:t>34</w:t>
      </w:r>
      <w:r w:rsidRPr="00220CFD">
        <w:t xml:space="preserve">% and </w:t>
      </w:r>
      <w:r w:rsidR="00885212" w:rsidRPr="00D02DE2">
        <w:t>20.5</w:t>
      </w:r>
      <w:r w:rsidRPr="00650421">
        <w:t xml:space="preserve">% of patients with HR+ and TNBC would have </w:t>
      </w:r>
      <w:r w:rsidRPr="0066027B">
        <w:rPr>
          <w:i/>
          <w:iCs/>
        </w:rPr>
        <w:t>de novo</w:t>
      </w:r>
      <w:r w:rsidRPr="00650421">
        <w:t xml:space="preserve"> disease.  </w:t>
      </w:r>
    </w:p>
    <w:p w14:paraId="11CC6A42" w14:textId="3AC9F6AE" w:rsidR="00A44391" w:rsidRDefault="00650421" w:rsidP="00220CFD">
      <w:pPr>
        <w:rPr>
          <w:i/>
          <w:iCs/>
        </w:rPr>
      </w:pPr>
      <w:r w:rsidRPr="00650421">
        <w:t>The submission assumed that of olaparib patients progressing from eBC</w:t>
      </w:r>
      <w:r w:rsidR="006401A8">
        <w:t>10%</w:t>
      </w:r>
      <w:r w:rsidRPr="00220CFD">
        <w:t>%</w:t>
      </w:r>
      <w:r w:rsidRPr="00650421">
        <w:t xml:space="preserve"> would receive g</w:t>
      </w:r>
      <w:r w:rsidRPr="11FAFD31">
        <w:rPr>
          <w:i/>
          <w:iCs/>
        </w:rPr>
        <w:t>BRCA</w:t>
      </w:r>
      <w:r w:rsidRPr="00650421">
        <w:t xml:space="preserve"> testing in the mBC setting. Of the </w:t>
      </w:r>
      <w:r w:rsidRPr="11FAFD31">
        <w:rPr>
          <w:i/>
          <w:iCs/>
        </w:rPr>
        <w:t>de novo</w:t>
      </w:r>
      <w:r w:rsidRPr="00650421">
        <w:t xml:space="preserve"> HR+ </w:t>
      </w:r>
      <w:r w:rsidRPr="00220CFD">
        <w:t xml:space="preserve">patients </w:t>
      </w:r>
      <w:r w:rsidR="006401A8" w:rsidRPr="00D02DE2">
        <w:t>95</w:t>
      </w:r>
      <w:r w:rsidRPr="00220CFD">
        <w:t xml:space="preserve">% would receive testing in the mBC setting, and of </w:t>
      </w:r>
      <w:r w:rsidRPr="00220CFD">
        <w:rPr>
          <w:i/>
          <w:iCs/>
        </w:rPr>
        <w:t xml:space="preserve">de </w:t>
      </w:r>
      <w:r w:rsidR="00E57C6E" w:rsidRPr="00220CFD">
        <w:rPr>
          <w:i/>
          <w:iCs/>
        </w:rPr>
        <w:t>n</w:t>
      </w:r>
      <w:r w:rsidRPr="00220CFD">
        <w:rPr>
          <w:i/>
          <w:iCs/>
        </w:rPr>
        <w:t>ovo</w:t>
      </w:r>
      <w:r w:rsidRPr="00220CFD">
        <w:t xml:space="preserve"> TNBC patients, </w:t>
      </w:r>
      <w:r w:rsidR="00756709" w:rsidRPr="00D02DE2">
        <w:t>95</w:t>
      </w:r>
      <w:r w:rsidRPr="00220CFD">
        <w:t xml:space="preserve">% would receive testing in the </w:t>
      </w:r>
      <w:r w:rsidR="00452811" w:rsidRPr="00220CFD">
        <w:t xml:space="preserve">mBC </w:t>
      </w:r>
      <w:r w:rsidRPr="00220CFD">
        <w:t xml:space="preserve">setting. For the chemotherapy arm, the submission estimated that </w:t>
      </w:r>
      <w:r w:rsidRPr="0090680E">
        <w:t>0</w:t>
      </w:r>
      <w:r w:rsidRPr="00220CFD">
        <w:t>% of patients</w:t>
      </w:r>
      <w:r w:rsidRPr="00650421">
        <w:t xml:space="preserve"> progressed from eBC would receive testing, </w:t>
      </w:r>
      <w:r w:rsidRPr="0090680E">
        <w:t>20</w:t>
      </w:r>
      <w:r w:rsidRPr="00220CFD">
        <w:t xml:space="preserve">% of </w:t>
      </w:r>
      <w:r w:rsidRPr="00220CFD">
        <w:rPr>
          <w:i/>
          <w:iCs/>
        </w:rPr>
        <w:t>de novo</w:t>
      </w:r>
      <w:r w:rsidRPr="00220CFD">
        <w:t xml:space="preserve"> HR+ would receive testing and </w:t>
      </w:r>
      <w:r w:rsidRPr="0090680E">
        <w:t>74</w:t>
      </w:r>
      <w:r w:rsidRPr="00220CFD">
        <w:t>%</w:t>
      </w:r>
      <w:r w:rsidRPr="00650421">
        <w:t xml:space="preserve"> of </w:t>
      </w:r>
      <w:r w:rsidRPr="11FAFD31">
        <w:rPr>
          <w:i/>
          <w:iCs/>
        </w:rPr>
        <w:t>de novo</w:t>
      </w:r>
      <w:r w:rsidRPr="00650421">
        <w:t xml:space="preserve"> TNBC patients would receive testing. The submission </w:t>
      </w:r>
      <w:r w:rsidR="007E3FC5" w:rsidRPr="00650421">
        <w:t>claim</w:t>
      </w:r>
      <w:r w:rsidR="007E3FC5">
        <w:t>ed</w:t>
      </w:r>
      <w:r w:rsidR="007E3FC5" w:rsidRPr="00650421">
        <w:t xml:space="preserve"> </w:t>
      </w:r>
      <w:r w:rsidRPr="00650421">
        <w:t xml:space="preserve">that this was consistent with current testing rates the PBAC had previously considered for the olaparib in eBC submission </w:t>
      </w:r>
      <w:r w:rsidRPr="0066027B">
        <w:t xml:space="preserve">(Table 20, </w:t>
      </w:r>
      <w:r w:rsidR="008A5CD1" w:rsidRPr="00FD4169">
        <w:t>olaparib PSD March 2023 PBAC meeting</w:t>
      </w:r>
      <w:r w:rsidR="008A5CD1">
        <w:rPr>
          <w:rStyle w:val="FootnoteReference"/>
        </w:rPr>
        <w:footnoteReference w:id="12"/>
      </w:r>
      <w:r w:rsidRPr="0066027B">
        <w:t>)</w:t>
      </w:r>
      <w:r w:rsidRPr="00E14AF7">
        <w:t>.</w:t>
      </w:r>
      <w:r w:rsidRPr="11FAFD31">
        <w:rPr>
          <w:i/>
          <w:iCs/>
        </w:rPr>
        <w:t xml:space="preserve"> </w:t>
      </w:r>
    </w:p>
    <w:p w14:paraId="682EB88C" w14:textId="45F72B49" w:rsidR="00450413" w:rsidRPr="00450413" w:rsidRDefault="00450413" w:rsidP="0066027B">
      <w:r>
        <w:lastRenderedPageBreak/>
        <w:t xml:space="preserve">As the model did not incorporate test accuracy into the model, the </w:t>
      </w:r>
      <w:r w:rsidRPr="0066027B">
        <w:rPr>
          <w:i/>
          <w:iCs/>
        </w:rPr>
        <w:t>BRCA</w:t>
      </w:r>
      <w:r>
        <w:t>m positive rate was not incorporated into the model.</w:t>
      </w:r>
    </w:p>
    <w:p w14:paraId="6A1516AD" w14:textId="73006CA7" w:rsidR="00A44391" w:rsidRPr="004D70F4" w:rsidRDefault="002E2E68" w:rsidP="00A44391">
      <w:r>
        <w:fldChar w:fldCharType="begin"/>
      </w:r>
      <w:r>
        <w:instrText xml:space="preserve"> REF _Ref171522063 \h </w:instrText>
      </w:r>
      <w:r>
        <w:fldChar w:fldCharType="separate"/>
      </w:r>
      <w:r w:rsidR="00325DE1">
        <w:t xml:space="preserve">Table </w:t>
      </w:r>
      <w:r w:rsidR="00325DE1">
        <w:rPr>
          <w:noProof/>
        </w:rPr>
        <w:t>10</w:t>
      </w:r>
      <w:r>
        <w:fldChar w:fldCharType="end"/>
      </w:r>
      <w:r>
        <w:t xml:space="preserve"> </w:t>
      </w:r>
      <w:r w:rsidR="00A44391" w:rsidRPr="004D70F4">
        <w:t xml:space="preserve">presents </w:t>
      </w:r>
      <w:r w:rsidR="00A44391">
        <w:t xml:space="preserve">a </w:t>
      </w:r>
      <w:r w:rsidR="00A44391" w:rsidRPr="004D70F4">
        <w:t xml:space="preserve">summary of the key drivers of the subgroup model and ITT model. </w:t>
      </w:r>
      <w:r w:rsidR="00A44391" w:rsidRPr="00C811C0">
        <w:t>In the subgroup model, the only key drivers were efficacy inputs such as OS extrapolation and PFS2 health state assumptions</w:t>
      </w:r>
      <w:r w:rsidR="00A44391">
        <w:rPr>
          <w:i/>
          <w:iCs/>
        </w:rPr>
        <w:t xml:space="preserve">. </w:t>
      </w:r>
      <w:r w:rsidR="00A44391" w:rsidRPr="00A44391">
        <w:t>The commentary noted, however, that as the OS benefit assumed in the no prior chemotherapy subgroup may not be supported, the entire model should be considered uncertain and may not be informative.</w:t>
      </w:r>
      <w:r w:rsidR="00A44391" w:rsidRPr="004D70F4">
        <w:rPr>
          <w:i/>
          <w:iCs/>
        </w:rPr>
        <w:t xml:space="preserve"> </w:t>
      </w:r>
    </w:p>
    <w:p w14:paraId="4613ED99" w14:textId="0ED9D999" w:rsidR="00A44391" w:rsidRPr="00C811C0" w:rsidRDefault="002E2E68" w:rsidP="002E2E68">
      <w:pPr>
        <w:pStyle w:val="Caption"/>
        <w:rPr>
          <w:rStyle w:val="CommentReference"/>
          <w:b w:val="0"/>
          <w:sz w:val="20"/>
          <w:szCs w:val="20"/>
        </w:rPr>
      </w:pPr>
      <w:bookmarkStart w:id="38" w:name="_Ref171522063"/>
      <w:r>
        <w:t xml:space="preserve">Table </w:t>
      </w:r>
      <w:r w:rsidR="008F6B43">
        <w:fldChar w:fldCharType="begin"/>
      </w:r>
      <w:r w:rsidR="008F6B43">
        <w:instrText xml:space="preserve"> SEQ Table \* ARABIC </w:instrText>
      </w:r>
      <w:r w:rsidR="008F6B43">
        <w:fldChar w:fldCharType="separate"/>
      </w:r>
      <w:r w:rsidR="00325DE1">
        <w:rPr>
          <w:noProof/>
        </w:rPr>
        <w:t>10</w:t>
      </w:r>
      <w:r w:rsidR="008F6B43">
        <w:rPr>
          <w:noProof/>
        </w:rPr>
        <w:fldChar w:fldCharType="end"/>
      </w:r>
      <w:bookmarkEnd w:id="38"/>
      <w:r>
        <w:t xml:space="preserve"> </w:t>
      </w:r>
      <w:r w:rsidR="00A44391" w:rsidRPr="00C811C0">
        <w:rPr>
          <w:rStyle w:val="CommentReference"/>
          <w:sz w:val="20"/>
          <w:szCs w:val="20"/>
        </w:rPr>
        <w:t xml:space="preserve">Key drivers of the model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4394"/>
        <w:gridCol w:w="3493"/>
      </w:tblGrid>
      <w:tr w:rsidR="00A44391" w:rsidRPr="004D70F4" w14:paraId="0BD4FEDD" w14:textId="77777777" w:rsidTr="00E308EC">
        <w:trPr>
          <w:tblHeader/>
        </w:trPr>
        <w:tc>
          <w:tcPr>
            <w:tcW w:w="626" w:type="pct"/>
            <w:shd w:val="clear" w:color="auto" w:fill="auto"/>
            <w:vAlign w:val="center"/>
          </w:tcPr>
          <w:p w14:paraId="058EDF00" w14:textId="77777777" w:rsidR="00A44391" w:rsidRPr="004D70F4" w:rsidRDefault="00A44391" w:rsidP="00583870">
            <w:pPr>
              <w:pStyle w:val="In-tableHeading"/>
              <w:jc w:val="center"/>
              <w:rPr>
                <w:lang w:val="en-AU"/>
              </w:rPr>
            </w:pPr>
            <w:r w:rsidRPr="004D70F4">
              <w:rPr>
                <w:lang w:val="en-AU"/>
              </w:rPr>
              <w:t>Description</w:t>
            </w:r>
          </w:p>
        </w:tc>
        <w:tc>
          <w:tcPr>
            <w:tcW w:w="2437" w:type="pct"/>
            <w:shd w:val="clear" w:color="auto" w:fill="auto"/>
            <w:vAlign w:val="center"/>
          </w:tcPr>
          <w:p w14:paraId="550DC35D" w14:textId="77777777" w:rsidR="00A44391" w:rsidRPr="004D70F4" w:rsidRDefault="00A44391" w:rsidP="00583870">
            <w:pPr>
              <w:pStyle w:val="In-tableHeading"/>
              <w:jc w:val="center"/>
              <w:rPr>
                <w:lang w:val="en-AU"/>
              </w:rPr>
            </w:pPr>
            <w:r w:rsidRPr="004D70F4">
              <w:rPr>
                <w:lang w:val="en-AU"/>
              </w:rPr>
              <w:t>Method/Value</w:t>
            </w:r>
          </w:p>
        </w:tc>
        <w:tc>
          <w:tcPr>
            <w:tcW w:w="1937" w:type="pct"/>
            <w:shd w:val="clear" w:color="auto" w:fill="auto"/>
            <w:vAlign w:val="center"/>
          </w:tcPr>
          <w:p w14:paraId="5BA609DB" w14:textId="1FF2D77D" w:rsidR="00A44391" w:rsidRPr="004D70F4" w:rsidRDefault="00A44391" w:rsidP="00613DE1">
            <w:pPr>
              <w:pStyle w:val="In-tableHeading"/>
              <w:jc w:val="center"/>
              <w:rPr>
                <w:lang w:val="en-AU"/>
              </w:rPr>
            </w:pPr>
            <w:r w:rsidRPr="004D70F4">
              <w:rPr>
                <w:lang w:val="en-AU"/>
              </w:rPr>
              <w:t>Impact</w:t>
            </w:r>
            <w:r w:rsidRPr="004D70F4">
              <w:rPr>
                <w:rFonts w:cs="Arial"/>
                <w:szCs w:val="20"/>
                <w:lang w:val="en-AU"/>
              </w:rPr>
              <w:t xml:space="preserve"> </w:t>
            </w:r>
          </w:p>
        </w:tc>
      </w:tr>
      <w:tr w:rsidR="00A44391" w:rsidRPr="004D70F4" w14:paraId="55C014BA" w14:textId="77777777" w:rsidTr="00E308EC">
        <w:trPr>
          <w:tblHeader/>
        </w:trPr>
        <w:tc>
          <w:tcPr>
            <w:tcW w:w="3063" w:type="pct"/>
            <w:gridSpan w:val="2"/>
            <w:shd w:val="clear" w:color="auto" w:fill="auto"/>
            <w:vAlign w:val="center"/>
          </w:tcPr>
          <w:p w14:paraId="054211C5" w14:textId="77777777" w:rsidR="00A44391" w:rsidRPr="004D70F4" w:rsidRDefault="00A44391" w:rsidP="00583870">
            <w:pPr>
              <w:pStyle w:val="In-tableHeading"/>
              <w:rPr>
                <w:lang w:val="en-AU"/>
              </w:rPr>
            </w:pPr>
            <w:r w:rsidRPr="004D70F4">
              <w:rPr>
                <w:lang w:val="en-AU"/>
              </w:rPr>
              <w:t>Subgroup model</w:t>
            </w:r>
          </w:p>
        </w:tc>
        <w:tc>
          <w:tcPr>
            <w:tcW w:w="1937" w:type="pct"/>
            <w:shd w:val="clear" w:color="auto" w:fill="auto"/>
            <w:vAlign w:val="center"/>
          </w:tcPr>
          <w:p w14:paraId="52B06FDB" w14:textId="7D881EF2" w:rsidR="00A44391" w:rsidRPr="004D70F4" w:rsidRDefault="00A44391" w:rsidP="00583870">
            <w:pPr>
              <w:pStyle w:val="In-tableHeading"/>
              <w:jc w:val="center"/>
              <w:rPr>
                <w:lang w:val="en-AU"/>
              </w:rPr>
            </w:pPr>
            <w:r w:rsidRPr="004D70F4">
              <w:rPr>
                <w:rFonts w:cs="Arial"/>
                <w:szCs w:val="20"/>
                <w:lang w:val="en-AU"/>
              </w:rPr>
              <w:t xml:space="preserve">Base case: </w:t>
            </w:r>
            <w:r w:rsidRPr="004D70F4">
              <w:rPr>
                <w:lang w:val="en-AU"/>
              </w:rPr>
              <w:t>$</w:t>
            </w:r>
            <w:r w:rsidR="0090680E" w:rsidRPr="0090680E">
              <w:rPr>
                <w:bCs/>
                <w:lang w:val="en-AU"/>
              </w:rPr>
              <w:t>redacted</w:t>
            </w:r>
            <w:r w:rsidR="00BE7E19" w:rsidRPr="0090680E">
              <w:rPr>
                <w:vertAlign w:val="superscript"/>
                <w:lang w:val="en-AU"/>
              </w:rPr>
              <w:t>1</w:t>
            </w:r>
            <w:r w:rsidRPr="00D04BCB">
              <w:rPr>
                <w:rFonts w:cs="Arial"/>
                <w:szCs w:val="20"/>
                <w:lang w:val="en-AU"/>
              </w:rPr>
              <w:t>/Q</w:t>
            </w:r>
            <w:r w:rsidRPr="004D70F4">
              <w:rPr>
                <w:rFonts w:cs="Arial"/>
                <w:szCs w:val="20"/>
                <w:lang w:val="en-AU"/>
              </w:rPr>
              <w:t>ALY gained</w:t>
            </w:r>
          </w:p>
        </w:tc>
      </w:tr>
      <w:tr w:rsidR="00A44391" w:rsidRPr="004D70F4" w14:paraId="554B438D" w14:textId="77777777" w:rsidTr="00E308EC">
        <w:tc>
          <w:tcPr>
            <w:tcW w:w="626" w:type="pct"/>
            <w:shd w:val="clear" w:color="auto" w:fill="auto"/>
            <w:vAlign w:val="center"/>
          </w:tcPr>
          <w:p w14:paraId="44E7FA30" w14:textId="77777777" w:rsidR="00A44391" w:rsidRPr="004D70F4" w:rsidRDefault="00A44391" w:rsidP="00583870">
            <w:pPr>
              <w:pStyle w:val="TableText"/>
            </w:pPr>
            <w:r w:rsidRPr="004D70F4">
              <w:t>OS Extrapolation</w:t>
            </w:r>
          </w:p>
        </w:tc>
        <w:tc>
          <w:tcPr>
            <w:tcW w:w="2437" w:type="pct"/>
            <w:shd w:val="clear" w:color="auto" w:fill="auto"/>
            <w:vAlign w:val="center"/>
          </w:tcPr>
          <w:p w14:paraId="1275DC61" w14:textId="77777777" w:rsidR="00A44391" w:rsidRPr="004D70F4" w:rsidRDefault="00A44391" w:rsidP="00583870">
            <w:pPr>
              <w:pStyle w:val="TableText"/>
            </w:pPr>
            <w:r w:rsidRPr="004D70F4">
              <w:t xml:space="preserve">Both </w:t>
            </w:r>
            <w:r>
              <w:t>o</w:t>
            </w:r>
            <w:r w:rsidRPr="004D70F4">
              <w:t xml:space="preserve">laparib and chemotherapy arms extrapolated OS using the lognormal function. </w:t>
            </w:r>
          </w:p>
        </w:tc>
        <w:tc>
          <w:tcPr>
            <w:tcW w:w="1937" w:type="pct"/>
            <w:shd w:val="clear" w:color="auto" w:fill="auto"/>
            <w:vAlign w:val="center"/>
          </w:tcPr>
          <w:p w14:paraId="4E944004" w14:textId="77777777" w:rsidR="00A44391" w:rsidRPr="004D70F4" w:rsidRDefault="00A44391" w:rsidP="00583870">
            <w:pPr>
              <w:pStyle w:val="TableText"/>
              <w:rPr>
                <w:i/>
              </w:rPr>
            </w:pPr>
            <w:r w:rsidRPr="004D70F4">
              <w:rPr>
                <w:i/>
              </w:rPr>
              <w:t xml:space="preserve">Moderate, favours </w:t>
            </w:r>
            <w:r>
              <w:rPr>
                <w:i/>
              </w:rPr>
              <w:t>o</w:t>
            </w:r>
            <w:r w:rsidRPr="004D70F4">
              <w:rPr>
                <w:i/>
              </w:rPr>
              <w:t>laparib.</w:t>
            </w:r>
          </w:p>
          <w:p w14:paraId="2868BDEF" w14:textId="3A9363FA" w:rsidR="00A44391" w:rsidRPr="004D70F4" w:rsidRDefault="00A44391" w:rsidP="00583870">
            <w:pPr>
              <w:pStyle w:val="TableText"/>
              <w:rPr>
                <w:i/>
              </w:rPr>
            </w:pPr>
            <w:r w:rsidRPr="004D70F4">
              <w:rPr>
                <w:i/>
              </w:rPr>
              <w:t xml:space="preserve">Use of Weibull function in both arms increased the ICER </w:t>
            </w:r>
            <w:r w:rsidRPr="00D04BCB">
              <w:rPr>
                <w:i/>
              </w:rPr>
              <w:t xml:space="preserve">by </w:t>
            </w:r>
            <w:r w:rsidR="0090680E" w:rsidRPr="0090680E">
              <w:rPr>
                <w:b/>
                <w:bCs/>
                <w:i/>
              </w:rPr>
              <w:t>redacted</w:t>
            </w:r>
            <w:r w:rsidRPr="00D04BCB">
              <w:rPr>
                <w:i/>
              </w:rPr>
              <w:t>%</w:t>
            </w:r>
            <w:r w:rsidRPr="004D70F4">
              <w:rPr>
                <w:i/>
              </w:rPr>
              <w:t xml:space="preserve"> to </w:t>
            </w:r>
            <w:r w:rsidRPr="004D70F4">
              <w:rPr>
                <w:szCs w:val="20"/>
              </w:rPr>
              <w:t>$</w:t>
            </w:r>
            <w:r w:rsidR="0090680E" w:rsidRPr="0090680E">
              <w:rPr>
                <w:b/>
                <w:bCs/>
                <w:szCs w:val="20"/>
              </w:rPr>
              <w:t>redacted</w:t>
            </w:r>
            <w:r w:rsidR="00BE7E19" w:rsidRPr="0090680E">
              <w:rPr>
                <w:szCs w:val="20"/>
                <w:vertAlign w:val="superscript"/>
              </w:rPr>
              <w:t>2</w:t>
            </w:r>
            <w:r w:rsidRPr="00616759">
              <w:rPr>
                <w:i/>
              </w:rPr>
              <w:t>/</w:t>
            </w:r>
            <w:r w:rsidRPr="004D70F4">
              <w:rPr>
                <w:i/>
              </w:rPr>
              <w:t xml:space="preserve">QALY gained. </w:t>
            </w:r>
          </w:p>
        </w:tc>
      </w:tr>
      <w:tr w:rsidR="00A44391" w:rsidRPr="004D70F4" w14:paraId="5F331081" w14:textId="77777777" w:rsidTr="00E308EC">
        <w:tc>
          <w:tcPr>
            <w:tcW w:w="626" w:type="pct"/>
            <w:shd w:val="clear" w:color="auto" w:fill="auto"/>
            <w:vAlign w:val="center"/>
          </w:tcPr>
          <w:p w14:paraId="436B6E3C" w14:textId="77777777" w:rsidR="00A44391" w:rsidRPr="004D70F4" w:rsidRDefault="00A44391" w:rsidP="00583870">
            <w:pPr>
              <w:pStyle w:val="TableText"/>
            </w:pPr>
            <w:r w:rsidRPr="004D70F4">
              <w:t xml:space="preserve">PFS2 state assumptions </w:t>
            </w:r>
          </w:p>
        </w:tc>
        <w:tc>
          <w:tcPr>
            <w:tcW w:w="2437" w:type="pct"/>
            <w:shd w:val="clear" w:color="auto" w:fill="auto"/>
            <w:vAlign w:val="center"/>
          </w:tcPr>
          <w:p w14:paraId="0B70D0DD" w14:textId="4C707341" w:rsidR="00A44391" w:rsidRPr="004D70F4" w:rsidRDefault="00A44391" w:rsidP="00583870">
            <w:pPr>
              <w:pStyle w:val="TableText"/>
            </w:pPr>
            <w:r w:rsidRPr="004D70F4">
              <w:t>The model assumed a PFS2 health state in between progression free and progressed. This state had different (treatment specific utilities) and disease monitoring costs assumed to be equal to progression free.</w:t>
            </w:r>
          </w:p>
        </w:tc>
        <w:tc>
          <w:tcPr>
            <w:tcW w:w="1937" w:type="pct"/>
            <w:shd w:val="clear" w:color="auto" w:fill="auto"/>
            <w:vAlign w:val="center"/>
          </w:tcPr>
          <w:p w14:paraId="02095254" w14:textId="77777777" w:rsidR="00A44391" w:rsidRPr="004D70F4" w:rsidRDefault="00A44391" w:rsidP="00583870">
            <w:pPr>
              <w:pStyle w:val="TableText"/>
              <w:rPr>
                <w:i/>
              </w:rPr>
            </w:pPr>
            <w:r w:rsidRPr="004D70F4">
              <w:rPr>
                <w:i/>
              </w:rPr>
              <w:t xml:space="preserve">Moderate, favours </w:t>
            </w:r>
            <w:r>
              <w:rPr>
                <w:i/>
              </w:rPr>
              <w:t>o</w:t>
            </w:r>
            <w:r w:rsidRPr="004D70F4">
              <w:rPr>
                <w:i/>
              </w:rPr>
              <w:t>laparib</w:t>
            </w:r>
          </w:p>
          <w:p w14:paraId="3AA82227" w14:textId="1C9BECE9" w:rsidR="00A44391" w:rsidRPr="004D70F4" w:rsidRDefault="00A44391" w:rsidP="00583870">
            <w:pPr>
              <w:pStyle w:val="TableText"/>
              <w:rPr>
                <w:i/>
              </w:rPr>
            </w:pPr>
            <w:r w:rsidRPr="004D70F4">
              <w:rPr>
                <w:i/>
              </w:rPr>
              <w:t xml:space="preserve">Assuming disease monitoring costs and utilities equal to those in the PD states increased </w:t>
            </w:r>
            <w:r w:rsidRPr="00D04BCB">
              <w:rPr>
                <w:i/>
              </w:rPr>
              <w:t xml:space="preserve">the ICER by </w:t>
            </w:r>
            <w:r w:rsidR="0090680E" w:rsidRPr="0090680E">
              <w:rPr>
                <w:b/>
                <w:bCs/>
                <w:i/>
              </w:rPr>
              <w:t>redacted</w:t>
            </w:r>
            <w:r w:rsidRPr="00D04BCB">
              <w:rPr>
                <w:i/>
              </w:rPr>
              <w:t xml:space="preserve">% to </w:t>
            </w:r>
            <w:r w:rsidRPr="00D04BCB">
              <w:t>$</w:t>
            </w:r>
            <w:r w:rsidR="0090680E" w:rsidRPr="0090680E">
              <w:rPr>
                <w:b/>
                <w:bCs/>
              </w:rPr>
              <w:t>redacted</w:t>
            </w:r>
            <w:r w:rsidR="00D821AA" w:rsidRPr="0090680E">
              <w:rPr>
                <w:vertAlign w:val="superscript"/>
              </w:rPr>
              <w:t>2</w:t>
            </w:r>
            <w:r w:rsidRPr="00D04BCB">
              <w:rPr>
                <w:i/>
              </w:rPr>
              <w:t>QALY</w:t>
            </w:r>
            <w:r w:rsidRPr="004D70F4">
              <w:rPr>
                <w:i/>
              </w:rPr>
              <w:t xml:space="preserve"> gained.</w:t>
            </w:r>
            <w:r w:rsidRPr="004D70F4">
              <w:rPr>
                <w:rFonts w:cs="Arial"/>
                <w:color w:val="3366FF"/>
                <w:szCs w:val="20"/>
              </w:rPr>
              <w:t xml:space="preserve"> </w:t>
            </w:r>
          </w:p>
        </w:tc>
      </w:tr>
      <w:tr w:rsidR="00A44391" w:rsidRPr="004D70F4" w14:paraId="164C92B9" w14:textId="77777777" w:rsidTr="00E308EC">
        <w:tc>
          <w:tcPr>
            <w:tcW w:w="626" w:type="pct"/>
            <w:shd w:val="clear" w:color="auto" w:fill="auto"/>
            <w:vAlign w:val="center"/>
          </w:tcPr>
          <w:p w14:paraId="450D09A4" w14:textId="77777777" w:rsidR="00A44391" w:rsidRPr="004D70F4" w:rsidRDefault="00A44391" w:rsidP="00583870">
            <w:pPr>
              <w:pStyle w:val="TableText"/>
            </w:pPr>
            <w:r>
              <w:t>Differential Utilities</w:t>
            </w:r>
          </w:p>
        </w:tc>
        <w:tc>
          <w:tcPr>
            <w:tcW w:w="2437" w:type="pct"/>
            <w:shd w:val="clear" w:color="auto" w:fill="auto"/>
            <w:vAlign w:val="center"/>
          </w:tcPr>
          <w:p w14:paraId="2037BE2F" w14:textId="77777777" w:rsidR="00A44391" w:rsidRPr="004D70F4" w:rsidRDefault="00A44391" w:rsidP="00583870">
            <w:pPr>
              <w:pStyle w:val="TableText"/>
            </w:pPr>
            <w:r>
              <w:t xml:space="preserve">The submission assumed different utilities for olaparib and chemotherapy in both PFS1 (0.817 vs 0.745) and PFS2 (0.749 vs 0.717) health states. </w:t>
            </w:r>
          </w:p>
        </w:tc>
        <w:tc>
          <w:tcPr>
            <w:tcW w:w="1937" w:type="pct"/>
            <w:shd w:val="clear" w:color="auto" w:fill="auto"/>
            <w:vAlign w:val="center"/>
          </w:tcPr>
          <w:p w14:paraId="1587D03E" w14:textId="3426CCAF" w:rsidR="00A44391" w:rsidRPr="004D70F4" w:rsidRDefault="00A44391" w:rsidP="00583870">
            <w:pPr>
              <w:pStyle w:val="TableText"/>
              <w:rPr>
                <w:i/>
              </w:rPr>
            </w:pPr>
            <w:r>
              <w:rPr>
                <w:i/>
              </w:rPr>
              <w:t xml:space="preserve">Assuming no differential utilities increased the ICER </w:t>
            </w:r>
            <w:r w:rsidRPr="00D04BCB">
              <w:rPr>
                <w:i/>
              </w:rPr>
              <w:t xml:space="preserve">by </w:t>
            </w:r>
            <w:r w:rsidR="0090680E" w:rsidRPr="0090680E">
              <w:rPr>
                <w:b/>
                <w:bCs/>
                <w:i/>
              </w:rPr>
              <w:t>redacted</w:t>
            </w:r>
            <w:r w:rsidRPr="00D04BCB">
              <w:rPr>
                <w:i/>
              </w:rPr>
              <w:t>% to $</w:t>
            </w:r>
            <w:r w:rsidR="0090680E" w:rsidRPr="0090680E">
              <w:rPr>
                <w:b/>
                <w:bCs/>
                <w:i/>
              </w:rPr>
              <w:t>redacted</w:t>
            </w:r>
            <w:r w:rsidR="00D821AA" w:rsidRPr="0090680E">
              <w:rPr>
                <w:i/>
                <w:vertAlign w:val="superscript"/>
              </w:rPr>
              <w:t>2</w:t>
            </w:r>
            <w:r>
              <w:rPr>
                <w:i/>
              </w:rPr>
              <w:t>/QALY</w:t>
            </w:r>
          </w:p>
        </w:tc>
      </w:tr>
      <w:tr w:rsidR="00A44391" w:rsidRPr="004D70F4" w14:paraId="6E63BE5F" w14:textId="77777777" w:rsidTr="00E308EC">
        <w:tc>
          <w:tcPr>
            <w:tcW w:w="3063" w:type="pct"/>
            <w:gridSpan w:val="2"/>
            <w:shd w:val="clear" w:color="auto" w:fill="auto"/>
            <w:vAlign w:val="center"/>
          </w:tcPr>
          <w:p w14:paraId="12A57F87" w14:textId="77777777" w:rsidR="00A44391" w:rsidRPr="004D70F4" w:rsidRDefault="00A44391" w:rsidP="00583870">
            <w:pPr>
              <w:pStyle w:val="TableText"/>
              <w:rPr>
                <w:b/>
                <w:bCs/>
              </w:rPr>
            </w:pPr>
            <w:r w:rsidRPr="004D70F4">
              <w:rPr>
                <w:b/>
              </w:rPr>
              <w:t>ITT model</w:t>
            </w:r>
          </w:p>
        </w:tc>
        <w:tc>
          <w:tcPr>
            <w:tcW w:w="1937" w:type="pct"/>
            <w:shd w:val="clear" w:color="auto" w:fill="auto"/>
            <w:vAlign w:val="center"/>
          </w:tcPr>
          <w:p w14:paraId="721A19FC" w14:textId="4F873362" w:rsidR="00A44391" w:rsidRPr="004D70F4" w:rsidRDefault="00A44391" w:rsidP="00583870">
            <w:pPr>
              <w:pStyle w:val="TableText"/>
              <w:jc w:val="center"/>
            </w:pPr>
            <w:r w:rsidRPr="004D70F4">
              <w:rPr>
                <w:b/>
              </w:rPr>
              <w:t>Base case: $</w:t>
            </w:r>
            <w:r w:rsidR="0090680E" w:rsidRPr="0090680E">
              <w:rPr>
                <w:b/>
                <w:bCs/>
              </w:rPr>
              <w:t>redacted</w:t>
            </w:r>
            <w:r w:rsidR="00FE710A" w:rsidRPr="0090680E">
              <w:rPr>
                <w:b/>
                <w:vertAlign w:val="superscript"/>
              </w:rPr>
              <w:t>3</w:t>
            </w:r>
            <w:r w:rsidRPr="00616759">
              <w:rPr>
                <w:b/>
              </w:rPr>
              <w:t>/ QALY</w:t>
            </w:r>
            <w:r w:rsidRPr="004D70F4">
              <w:rPr>
                <w:b/>
              </w:rPr>
              <w:t xml:space="preserve"> gained</w:t>
            </w:r>
          </w:p>
        </w:tc>
      </w:tr>
      <w:tr w:rsidR="00A44391" w:rsidRPr="004D70F4" w14:paraId="72C9C742" w14:textId="77777777" w:rsidTr="00E308EC">
        <w:tc>
          <w:tcPr>
            <w:tcW w:w="626" w:type="pct"/>
            <w:shd w:val="clear" w:color="auto" w:fill="auto"/>
            <w:vAlign w:val="center"/>
          </w:tcPr>
          <w:p w14:paraId="038B3D06" w14:textId="77777777" w:rsidR="00A44391" w:rsidRPr="004D70F4" w:rsidRDefault="00A44391" w:rsidP="00583870">
            <w:pPr>
              <w:pStyle w:val="TableText"/>
            </w:pPr>
            <w:r w:rsidRPr="004D70F4">
              <w:t>OS improvement assumption</w:t>
            </w:r>
          </w:p>
        </w:tc>
        <w:tc>
          <w:tcPr>
            <w:tcW w:w="2437" w:type="pct"/>
            <w:shd w:val="clear" w:color="auto" w:fill="auto"/>
            <w:vAlign w:val="center"/>
          </w:tcPr>
          <w:p w14:paraId="0FB0C20F" w14:textId="77777777" w:rsidR="00A44391" w:rsidRPr="004D70F4" w:rsidRDefault="00A44391" w:rsidP="00583870">
            <w:pPr>
              <w:pStyle w:val="TableText"/>
            </w:pPr>
            <w:r w:rsidRPr="004D70F4">
              <w:t>The submission extrapolated ITT OS KM data from OlympiAD, which assumed a survival increment associated with Olaparib despite no statistically significant difference being demonstrated in the trial.</w:t>
            </w:r>
          </w:p>
        </w:tc>
        <w:tc>
          <w:tcPr>
            <w:tcW w:w="1937" w:type="pct"/>
            <w:shd w:val="clear" w:color="auto" w:fill="auto"/>
            <w:vAlign w:val="center"/>
          </w:tcPr>
          <w:p w14:paraId="0B1179BE" w14:textId="77777777" w:rsidR="00A44391" w:rsidRPr="004D70F4" w:rsidRDefault="00A44391" w:rsidP="00583870">
            <w:pPr>
              <w:pStyle w:val="TableText"/>
            </w:pPr>
            <w:r w:rsidRPr="004D70F4">
              <w:t xml:space="preserve">High, favours </w:t>
            </w:r>
            <w:r>
              <w:t>o</w:t>
            </w:r>
            <w:r w:rsidRPr="004D70F4">
              <w:t>laparib.</w:t>
            </w:r>
          </w:p>
          <w:p w14:paraId="38781BA8" w14:textId="5BA3F54E" w:rsidR="00A44391" w:rsidRPr="004D70F4" w:rsidRDefault="00A44391" w:rsidP="00583870">
            <w:pPr>
              <w:pStyle w:val="TableText"/>
            </w:pPr>
            <w:r w:rsidRPr="004D70F4">
              <w:t xml:space="preserve">Applying the </w:t>
            </w:r>
            <w:r>
              <w:t>o</w:t>
            </w:r>
            <w:r w:rsidRPr="004D70F4">
              <w:t xml:space="preserve">laparib OS curve to the </w:t>
            </w:r>
            <w:r w:rsidRPr="00E124BA">
              <w:t xml:space="preserve">chemotherapy arm increases the ICER </w:t>
            </w:r>
            <w:r w:rsidRPr="00D04BCB">
              <w:t xml:space="preserve">by </w:t>
            </w:r>
            <w:r w:rsidR="0090680E" w:rsidRPr="0090680E">
              <w:rPr>
                <w:b/>
                <w:bCs/>
              </w:rPr>
              <w:t>redacted</w:t>
            </w:r>
            <w:r w:rsidRPr="00E124BA">
              <w:t xml:space="preserve">% to </w:t>
            </w:r>
            <w:r w:rsidRPr="00E124BA">
              <w:rPr>
                <w:i/>
                <w:iCs/>
                <w:color w:val="000000"/>
                <w:szCs w:val="20"/>
              </w:rPr>
              <w:t>$</w:t>
            </w:r>
            <w:r w:rsidR="0090680E" w:rsidRPr="0090680E">
              <w:rPr>
                <w:b/>
                <w:bCs/>
                <w:i/>
                <w:iCs/>
                <w:color w:val="000000"/>
                <w:szCs w:val="20"/>
              </w:rPr>
              <w:t>redacted</w:t>
            </w:r>
            <w:r w:rsidR="00173268" w:rsidRPr="0090680E">
              <w:rPr>
                <w:i/>
                <w:iCs/>
                <w:color w:val="000000"/>
                <w:szCs w:val="20"/>
                <w:vertAlign w:val="superscript"/>
              </w:rPr>
              <w:t>4</w:t>
            </w:r>
          </w:p>
        </w:tc>
      </w:tr>
      <w:tr w:rsidR="00A44391" w:rsidRPr="004D70F4" w14:paraId="354011FA" w14:textId="77777777" w:rsidTr="00E308EC">
        <w:tc>
          <w:tcPr>
            <w:tcW w:w="626" w:type="pct"/>
            <w:shd w:val="clear" w:color="auto" w:fill="auto"/>
            <w:vAlign w:val="center"/>
          </w:tcPr>
          <w:p w14:paraId="41EE16E7" w14:textId="77777777" w:rsidR="00A44391" w:rsidRPr="004D70F4" w:rsidRDefault="00A44391" w:rsidP="00583870">
            <w:pPr>
              <w:pStyle w:val="TableText"/>
            </w:pPr>
            <w:r w:rsidRPr="004D70F4">
              <w:t>PFS2 extrapolation</w:t>
            </w:r>
          </w:p>
        </w:tc>
        <w:tc>
          <w:tcPr>
            <w:tcW w:w="2437" w:type="pct"/>
            <w:shd w:val="clear" w:color="auto" w:fill="auto"/>
            <w:vAlign w:val="center"/>
          </w:tcPr>
          <w:p w14:paraId="65F1735B" w14:textId="77777777" w:rsidR="00A44391" w:rsidRPr="004D70F4" w:rsidRDefault="00A44391" w:rsidP="00583870">
            <w:pPr>
              <w:pStyle w:val="TableText"/>
            </w:pPr>
            <w:r w:rsidRPr="004D70F4">
              <w:t xml:space="preserve">The submission extrapolated PFS2 using a generalized gamma function. </w:t>
            </w:r>
          </w:p>
        </w:tc>
        <w:tc>
          <w:tcPr>
            <w:tcW w:w="1937" w:type="pct"/>
            <w:shd w:val="clear" w:color="auto" w:fill="auto"/>
            <w:vAlign w:val="center"/>
          </w:tcPr>
          <w:p w14:paraId="7AE36949" w14:textId="77777777" w:rsidR="00A44391" w:rsidRPr="004D70F4" w:rsidRDefault="00A44391" w:rsidP="00583870">
            <w:pPr>
              <w:pStyle w:val="TableText"/>
            </w:pPr>
            <w:r w:rsidRPr="004D70F4">
              <w:t xml:space="preserve">High, favours </w:t>
            </w:r>
            <w:r>
              <w:t>o</w:t>
            </w:r>
            <w:r w:rsidRPr="004D70F4">
              <w:t>laparib</w:t>
            </w:r>
          </w:p>
          <w:p w14:paraId="014AFFB2" w14:textId="635240CB" w:rsidR="00A44391" w:rsidRPr="004D70F4" w:rsidRDefault="00A44391" w:rsidP="00583870">
            <w:pPr>
              <w:pStyle w:val="TableText"/>
            </w:pPr>
            <w:r w:rsidRPr="004D70F4">
              <w:t xml:space="preserve">Use of a lognormal function increases the ICER by </w:t>
            </w:r>
            <w:r w:rsidR="0090680E" w:rsidRPr="0090680E">
              <w:rPr>
                <w:b/>
                <w:bCs/>
              </w:rPr>
              <w:t>redacted</w:t>
            </w:r>
            <w:r w:rsidRPr="00D04BCB">
              <w:t>% to $</w:t>
            </w:r>
            <w:r w:rsidR="00173268" w:rsidRPr="0090680E">
              <w:rPr>
                <w:i/>
                <w:iCs/>
                <w:color w:val="000000"/>
                <w:szCs w:val="20"/>
              </w:rPr>
              <w:t xml:space="preserve"> </w:t>
            </w:r>
            <w:r w:rsidR="0090680E" w:rsidRPr="0090680E">
              <w:rPr>
                <w:b/>
                <w:bCs/>
                <w:color w:val="000000"/>
                <w:szCs w:val="20"/>
              </w:rPr>
              <w:t>redacted</w:t>
            </w:r>
            <w:r w:rsidR="00173268" w:rsidRPr="0090680E">
              <w:rPr>
                <w:color w:val="000000"/>
                <w:szCs w:val="20"/>
                <w:vertAlign w:val="superscript"/>
              </w:rPr>
              <w:t>4</w:t>
            </w:r>
          </w:p>
        </w:tc>
      </w:tr>
      <w:tr w:rsidR="00A44391" w:rsidRPr="004D70F4" w14:paraId="70F7FC6E" w14:textId="77777777" w:rsidTr="00E308EC">
        <w:tc>
          <w:tcPr>
            <w:tcW w:w="626" w:type="pct"/>
            <w:shd w:val="clear" w:color="auto" w:fill="auto"/>
            <w:vAlign w:val="center"/>
          </w:tcPr>
          <w:p w14:paraId="75FE7424" w14:textId="77777777" w:rsidR="00A44391" w:rsidRPr="004D70F4" w:rsidRDefault="00A44391" w:rsidP="00583870">
            <w:pPr>
              <w:pStyle w:val="TableText"/>
            </w:pPr>
            <w:r>
              <w:t>Differential Utilities</w:t>
            </w:r>
          </w:p>
        </w:tc>
        <w:tc>
          <w:tcPr>
            <w:tcW w:w="2437" w:type="pct"/>
            <w:shd w:val="clear" w:color="auto" w:fill="auto"/>
            <w:vAlign w:val="center"/>
          </w:tcPr>
          <w:p w14:paraId="3DBA89FE" w14:textId="77777777" w:rsidR="00A44391" w:rsidRPr="004D70F4" w:rsidRDefault="00A44391" w:rsidP="00583870">
            <w:pPr>
              <w:pStyle w:val="TableText"/>
            </w:pPr>
            <w:r>
              <w:t>The submission assumed different utilities for olaparib and chemotherapy in both PFS1 (0.817 vs 0.745) and PFS2 (0.749 vs 0.717) health states.</w:t>
            </w:r>
          </w:p>
        </w:tc>
        <w:tc>
          <w:tcPr>
            <w:tcW w:w="1937" w:type="pct"/>
            <w:shd w:val="clear" w:color="auto" w:fill="auto"/>
            <w:vAlign w:val="center"/>
          </w:tcPr>
          <w:p w14:paraId="384CAF90" w14:textId="5BEA91C8" w:rsidR="00A44391" w:rsidRPr="004D70F4" w:rsidRDefault="00A44391" w:rsidP="00583870">
            <w:pPr>
              <w:pStyle w:val="TableText"/>
            </w:pPr>
            <w:r>
              <w:rPr>
                <w:i/>
              </w:rPr>
              <w:t xml:space="preserve">Assuming no differential utilities increased the ICER by </w:t>
            </w:r>
            <w:r w:rsidR="0090680E" w:rsidRPr="0090680E">
              <w:rPr>
                <w:b/>
                <w:bCs/>
                <w:i/>
              </w:rPr>
              <w:t>redacted</w:t>
            </w:r>
            <w:r w:rsidRPr="000E71E8">
              <w:rPr>
                <w:i/>
              </w:rPr>
              <w:t>% to $</w:t>
            </w:r>
            <w:r w:rsidR="00D64D6C" w:rsidRPr="0090680E">
              <w:rPr>
                <w:i/>
                <w:iCs/>
                <w:color w:val="000000"/>
                <w:szCs w:val="20"/>
              </w:rPr>
              <w:t xml:space="preserve"> </w:t>
            </w:r>
            <w:r w:rsidR="0090680E" w:rsidRPr="0090680E">
              <w:rPr>
                <w:b/>
                <w:bCs/>
                <w:i/>
                <w:iCs/>
                <w:color w:val="000000"/>
                <w:szCs w:val="20"/>
              </w:rPr>
              <w:t>redacted</w:t>
            </w:r>
            <w:r w:rsidR="00D64D6C" w:rsidRPr="0090680E">
              <w:rPr>
                <w:i/>
                <w:iCs/>
                <w:color w:val="000000"/>
                <w:szCs w:val="20"/>
                <w:vertAlign w:val="superscript"/>
              </w:rPr>
              <w:t>4</w:t>
            </w:r>
            <w:r>
              <w:rPr>
                <w:i/>
              </w:rPr>
              <w:t>/QALY</w:t>
            </w:r>
          </w:p>
        </w:tc>
      </w:tr>
    </w:tbl>
    <w:p w14:paraId="749BEEFC" w14:textId="77777777" w:rsidR="00A44391" w:rsidRPr="004D70F4" w:rsidRDefault="00A44391" w:rsidP="00A44391">
      <w:pPr>
        <w:pStyle w:val="FooterTableFigure"/>
      </w:pPr>
      <w:r w:rsidRPr="004D70F4">
        <w:t>Source: Submiss</w:t>
      </w:r>
      <w:r>
        <w:t>i</w:t>
      </w:r>
      <w:r w:rsidRPr="004D70F4">
        <w:t xml:space="preserve">on’s attached </w:t>
      </w:r>
      <w:r>
        <w:t>e</w:t>
      </w:r>
      <w:r w:rsidRPr="004D70F4">
        <w:t xml:space="preserve">conomic model spreadsheet </w:t>
      </w:r>
    </w:p>
    <w:p w14:paraId="33F67AA9" w14:textId="64D7AF33" w:rsidR="00A44391" w:rsidRDefault="00A44391" w:rsidP="00A44391">
      <w:pPr>
        <w:pStyle w:val="FooterTableFigure"/>
      </w:pPr>
      <w:r w:rsidRPr="004D70F4">
        <w:t xml:space="preserve">ICER = incremental cost-effectiveness ratio; ITT = intention to treat; OS = overall survival; PFS2 = time to second progression </w:t>
      </w:r>
      <w:r>
        <w:t>t</w:t>
      </w:r>
      <w:r w:rsidRPr="004D70F4">
        <w:t xml:space="preserve">o death; PD = progressed disease; QALY = Quality adjusted life-year; </w:t>
      </w:r>
    </w:p>
    <w:p w14:paraId="3C34C25E" w14:textId="50E79406" w:rsidR="00067266" w:rsidRPr="003B3240" w:rsidRDefault="00067266" w:rsidP="00067266">
      <w:pPr>
        <w:pStyle w:val="FooterTableFigure"/>
        <w:keepNext/>
        <w:keepLines/>
        <w:rPr>
          <w:i/>
          <w:iCs/>
        </w:rPr>
      </w:pPr>
      <w:r w:rsidRPr="003B3240">
        <w:rPr>
          <w:i/>
          <w:iCs/>
        </w:rPr>
        <w:t xml:space="preserve">The </w:t>
      </w:r>
      <w:r w:rsidR="0090680E" w:rsidRPr="0090680E">
        <w:rPr>
          <w:b/>
          <w:bCs/>
          <w:i/>
          <w:iCs/>
        </w:rPr>
        <w:t>redacted</w:t>
      </w:r>
      <w:r w:rsidRPr="003B3240">
        <w:rPr>
          <w:i/>
          <w:iCs/>
        </w:rPr>
        <w:t xml:space="preserve"> values correspond to the following ranges</w:t>
      </w:r>
    </w:p>
    <w:p w14:paraId="47352885" w14:textId="79A04904" w:rsidR="00067266" w:rsidRPr="0090680E" w:rsidRDefault="0048087F" w:rsidP="00A44391">
      <w:pPr>
        <w:pStyle w:val="FooterTableFigure"/>
        <w:rPr>
          <w:i/>
          <w:iCs/>
        </w:rPr>
      </w:pPr>
      <w:r w:rsidRPr="0090680E">
        <w:rPr>
          <w:i/>
          <w:iCs/>
          <w:vertAlign w:val="superscript"/>
        </w:rPr>
        <w:t>1</w:t>
      </w:r>
      <w:r w:rsidR="00067266" w:rsidRPr="0090680E">
        <w:rPr>
          <w:i/>
          <w:iCs/>
        </w:rPr>
        <w:t>$</w:t>
      </w:r>
      <w:r w:rsidR="00BE7E19" w:rsidRPr="0090680E">
        <w:rPr>
          <w:i/>
          <w:iCs/>
        </w:rPr>
        <w:t>4</w:t>
      </w:r>
      <w:r w:rsidR="00067266" w:rsidRPr="0090680E">
        <w:rPr>
          <w:i/>
          <w:iCs/>
        </w:rPr>
        <w:t>5,000 to &lt; $</w:t>
      </w:r>
      <w:r w:rsidR="00BE7E19" w:rsidRPr="0090680E">
        <w:rPr>
          <w:i/>
          <w:iCs/>
        </w:rPr>
        <w:t>5</w:t>
      </w:r>
      <w:r w:rsidR="00067266" w:rsidRPr="0090680E">
        <w:rPr>
          <w:i/>
          <w:iCs/>
        </w:rPr>
        <w:t>5,000</w:t>
      </w:r>
    </w:p>
    <w:p w14:paraId="69C26EC2" w14:textId="6532E77D" w:rsidR="0048087F" w:rsidRPr="0090680E" w:rsidRDefault="0048087F" w:rsidP="00A44391">
      <w:pPr>
        <w:pStyle w:val="FooterTableFigure"/>
        <w:rPr>
          <w:i/>
          <w:iCs/>
        </w:rPr>
      </w:pPr>
      <w:r w:rsidRPr="0090680E">
        <w:rPr>
          <w:i/>
          <w:iCs/>
          <w:vertAlign w:val="superscript"/>
        </w:rPr>
        <w:t>2</w:t>
      </w:r>
      <w:r w:rsidRPr="0090680E">
        <w:rPr>
          <w:i/>
          <w:iCs/>
        </w:rPr>
        <w:t>$55,000 to &lt; $75,000</w:t>
      </w:r>
    </w:p>
    <w:p w14:paraId="73ED3232" w14:textId="011CE9A5" w:rsidR="00FE710A" w:rsidRPr="0090680E" w:rsidRDefault="00FE710A" w:rsidP="00A44391">
      <w:pPr>
        <w:pStyle w:val="FooterTableFigure"/>
        <w:rPr>
          <w:i/>
          <w:iCs/>
        </w:rPr>
      </w:pPr>
      <w:r w:rsidRPr="0090680E">
        <w:rPr>
          <w:i/>
          <w:iCs/>
          <w:vertAlign w:val="superscript"/>
        </w:rPr>
        <w:t>3</w:t>
      </w:r>
      <w:r w:rsidRPr="0090680E">
        <w:rPr>
          <w:i/>
          <w:iCs/>
        </w:rPr>
        <w:t>$75,000 to &lt; $95,000</w:t>
      </w:r>
    </w:p>
    <w:p w14:paraId="0101EE64" w14:textId="0785680F" w:rsidR="00202A97" w:rsidRPr="0090680E" w:rsidRDefault="00173268" w:rsidP="00A44391">
      <w:pPr>
        <w:pStyle w:val="FooterTableFigure"/>
        <w:rPr>
          <w:i/>
          <w:iCs/>
        </w:rPr>
      </w:pPr>
      <w:r w:rsidRPr="0090680E">
        <w:rPr>
          <w:i/>
          <w:iCs/>
          <w:vertAlign w:val="superscript"/>
        </w:rPr>
        <w:t>4</w:t>
      </w:r>
      <w:r w:rsidR="00202A97" w:rsidRPr="0090680E">
        <w:rPr>
          <w:i/>
          <w:iCs/>
        </w:rPr>
        <w:t>$95,000 to &lt; $115,000</w:t>
      </w:r>
    </w:p>
    <w:p w14:paraId="2BFA0E77" w14:textId="6A2719DC" w:rsidR="00DE1BBD" w:rsidRPr="00DE1BBD" w:rsidRDefault="00DE1BBD" w:rsidP="00DE1BBD">
      <w:pPr>
        <w:pStyle w:val="Heading3"/>
      </w:pPr>
      <w:r w:rsidRPr="00FE6CB5">
        <w:t>Results of the economic analysis</w:t>
      </w:r>
    </w:p>
    <w:p w14:paraId="00594F6C" w14:textId="2EDD1A72" w:rsidR="00DE1BBD" w:rsidRDefault="00DE1BBD" w:rsidP="0066027B">
      <w:r>
        <w:t>The submission presented stepped results of the subgroup model. with the following steps:</w:t>
      </w:r>
    </w:p>
    <w:p w14:paraId="4FE07E77" w14:textId="70E59ECF" w:rsidR="00DE1BBD" w:rsidRDefault="00DE1BBD" w:rsidP="00FF07E6">
      <w:pPr>
        <w:pStyle w:val="ListParagraph"/>
        <w:numPr>
          <w:ilvl w:val="0"/>
          <w:numId w:val="21"/>
        </w:numPr>
        <w:ind w:left="284" w:hanging="284"/>
      </w:pPr>
      <w:r>
        <w:t xml:space="preserve">Trial based cost per progression free life years </w:t>
      </w:r>
    </w:p>
    <w:p w14:paraId="0CA7D889" w14:textId="79B7479E" w:rsidR="00DE1BBD" w:rsidRDefault="00DE1BBD" w:rsidP="00FF07E6">
      <w:pPr>
        <w:pStyle w:val="ListParagraph"/>
        <w:numPr>
          <w:ilvl w:val="0"/>
          <w:numId w:val="21"/>
        </w:numPr>
        <w:ind w:left="284" w:hanging="284"/>
      </w:pPr>
      <w:r>
        <w:t>Cost per life year gained over 10 years</w:t>
      </w:r>
    </w:p>
    <w:p w14:paraId="2D500BBC" w14:textId="61E8A884" w:rsidR="00D5688C" w:rsidRPr="00801332" w:rsidRDefault="00DE1BBD" w:rsidP="00801332">
      <w:pPr>
        <w:pStyle w:val="ListParagraph"/>
        <w:numPr>
          <w:ilvl w:val="0"/>
          <w:numId w:val="21"/>
        </w:numPr>
        <w:ind w:left="284" w:hanging="284"/>
      </w:pPr>
      <w:r>
        <w:t>Cost per QALY over 10 years.</w:t>
      </w:r>
      <w:r w:rsidR="00D5688C">
        <w:br w:type="page"/>
      </w:r>
    </w:p>
    <w:p w14:paraId="7D4ACC93" w14:textId="0087452F" w:rsidR="00DE1BBD" w:rsidRPr="00C811C0" w:rsidRDefault="002E2E68" w:rsidP="002E2E68">
      <w:pPr>
        <w:pStyle w:val="Caption"/>
        <w:rPr>
          <w:rStyle w:val="CommentReference"/>
          <w:rFonts w:ascii="Franklin Gothic Book" w:eastAsiaTheme="minorHAnsi" w:hAnsi="Franklin Gothic Book" w:cstheme="minorBidi"/>
          <w:b w:val="0"/>
          <w:bCs w:val="0"/>
          <w:color w:val="258221"/>
          <w:sz w:val="20"/>
          <w:szCs w:val="20"/>
        </w:rPr>
      </w:pPr>
      <w:r>
        <w:lastRenderedPageBreak/>
        <w:t xml:space="preserve">Table </w:t>
      </w:r>
      <w:r w:rsidR="008F6B43">
        <w:fldChar w:fldCharType="begin"/>
      </w:r>
      <w:r w:rsidR="008F6B43">
        <w:instrText xml:space="preserve"> SEQ Table \* ARABIC </w:instrText>
      </w:r>
      <w:r w:rsidR="008F6B43">
        <w:fldChar w:fldCharType="separate"/>
      </w:r>
      <w:r w:rsidR="00325DE1">
        <w:rPr>
          <w:noProof/>
        </w:rPr>
        <w:t>11</w:t>
      </w:r>
      <w:r w:rsidR="008F6B43">
        <w:rPr>
          <w:noProof/>
        </w:rPr>
        <w:fldChar w:fldCharType="end"/>
      </w:r>
      <w:r>
        <w:t xml:space="preserve"> </w:t>
      </w:r>
      <w:r w:rsidR="00DE1BBD" w:rsidRPr="00452811">
        <w:rPr>
          <w:rStyle w:val="CommentReference"/>
          <w:sz w:val="20"/>
          <w:szCs w:val="20"/>
        </w:rPr>
        <w:t>Results</w:t>
      </w:r>
      <w:r w:rsidR="00DE1BBD" w:rsidRPr="00C811C0">
        <w:rPr>
          <w:rStyle w:val="CommentReference"/>
          <w:sz w:val="20"/>
          <w:szCs w:val="20"/>
        </w:rPr>
        <w:t xml:space="preserve"> of the stepped economic evaluation of the subgroup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7"/>
        <w:gridCol w:w="1511"/>
      </w:tblGrid>
      <w:tr w:rsidR="00DE1BBD" w:rsidRPr="004D70F4" w14:paraId="01442AED" w14:textId="77777777" w:rsidTr="11FAFD31">
        <w:trPr>
          <w:tblHeader/>
        </w:trPr>
        <w:tc>
          <w:tcPr>
            <w:tcW w:w="1529" w:type="pct"/>
            <w:vAlign w:val="center"/>
          </w:tcPr>
          <w:p w14:paraId="399722EE" w14:textId="77777777" w:rsidR="00DE1BBD" w:rsidRPr="004D70F4" w:rsidRDefault="00DE1BBD" w:rsidP="00583870">
            <w:pPr>
              <w:pStyle w:val="In-tableHeading"/>
              <w:rPr>
                <w:lang w:val="en-AU"/>
              </w:rPr>
            </w:pPr>
            <w:r w:rsidRPr="004D70F4">
              <w:rPr>
                <w:lang w:val="en-AU"/>
              </w:rPr>
              <w:t>Step and component</w:t>
            </w:r>
          </w:p>
        </w:tc>
        <w:tc>
          <w:tcPr>
            <w:tcW w:w="1359" w:type="pct"/>
            <w:vAlign w:val="center"/>
          </w:tcPr>
          <w:p w14:paraId="7623E424" w14:textId="77777777" w:rsidR="00DE1BBD" w:rsidRPr="004D70F4" w:rsidRDefault="00DE1BBD" w:rsidP="00583870">
            <w:pPr>
              <w:pStyle w:val="In-tableHeading"/>
              <w:jc w:val="center"/>
              <w:rPr>
                <w:lang w:val="en-AU"/>
              </w:rPr>
            </w:pPr>
            <w:r w:rsidRPr="004D70F4">
              <w:rPr>
                <w:lang w:val="en-AU"/>
              </w:rPr>
              <w:t>Olaparib</w:t>
            </w:r>
          </w:p>
        </w:tc>
        <w:tc>
          <w:tcPr>
            <w:tcW w:w="1274" w:type="pct"/>
            <w:vAlign w:val="center"/>
          </w:tcPr>
          <w:p w14:paraId="59F4378E" w14:textId="77777777" w:rsidR="00DE1BBD" w:rsidRPr="004D70F4" w:rsidRDefault="00DE1BBD" w:rsidP="00583870">
            <w:pPr>
              <w:pStyle w:val="In-tableHeading"/>
              <w:jc w:val="center"/>
              <w:rPr>
                <w:lang w:val="en-AU"/>
              </w:rPr>
            </w:pPr>
            <w:r w:rsidRPr="004D70F4">
              <w:rPr>
                <w:lang w:val="en-AU"/>
              </w:rPr>
              <w:t>Chemotherapy</w:t>
            </w:r>
          </w:p>
        </w:tc>
        <w:tc>
          <w:tcPr>
            <w:tcW w:w="838" w:type="pct"/>
            <w:vAlign w:val="center"/>
          </w:tcPr>
          <w:p w14:paraId="090433CE" w14:textId="77777777" w:rsidR="00DE1BBD" w:rsidRPr="004D70F4" w:rsidRDefault="00DE1BBD" w:rsidP="00583870">
            <w:pPr>
              <w:pStyle w:val="In-tableHeading"/>
              <w:jc w:val="center"/>
              <w:rPr>
                <w:lang w:val="en-AU"/>
              </w:rPr>
            </w:pPr>
            <w:r w:rsidRPr="004D70F4">
              <w:rPr>
                <w:lang w:val="en-AU"/>
              </w:rPr>
              <w:t>Increment</w:t>
            </w:r>
          </w:p>
        </w:tc>
      </w:tr>
      <w:tr w:rsidR="00DE1BBD" w:rsidRPr="004D70F4" w14:paraId="484FB0FE" w14:textId="77777777" w:rsidTr="11FAFD31">
        <w:tc>
          <w:tcPr>
            <w:tcW w:w="5000" w:type="pct"/>
            <w:gridSpan w:val="4"/>
            <w:vAlign w:val="center"/>
          </w:tcPr>
          <w:p w14:paraId="2F2F6558" w14:textId="77777777" w:rsidR="00DE1BBD" w:rsidRPr="004D70F4" w:rsidRDefault="00DE1BBD" w:rsidP="00583870">
            <w:pPr>
              <w:pStyle w:val="TableText"/>
              <w:rPr>
                <w:b/>
                <w:bCs/>
              </w:rPr>
            </w:pPr>
            <w:r w:rsidRPr="004D70F4">
              <w:rPr>
                <w:b/>
              </w:rPr>
              <w:t>Step 1: trial-based costs and progression free life years</w:t>
            </w:r>
          </w:p>
        </w:tc>
      </w:tr>
      <w:tr w:rsidR="00DE1BBD" w:rsidRPr="004D70F4" w14:paraId="12D3D903" w14:textId="77777777" w:rsidTr="003D5F93">
        <w:tc>
          <w:tcPr>
            <w:tcW w:w="1529" w:type="pct"/>
            <w:vAlign w:val="center"/>
          </w:tcPr>
          <w:p w14:paraId="3445E551" w14:textId="77777777" w:rsidR="00DE1BBD" w:rsidRPr="004D70F4" w:rsidRDefault="00DE1BBD" w:rsidP="00583870">
            <w:pPr>
              <w:pStyle w:val="TableText"/>
              <w:rPr>
                <w:rFonts w:ascii="Times" w:hAnsi="Times"/>
              </w:rPr>
            </w:pPr>
            <w:r w:rsidRPr="004D70F4">
              <w:t>Costs</w:t>
            </w:r>
          </w:p>
        </w:tc>
        <w:tc>
          <w:tcPr>
            <w:tcW w:w="1359" w:type="pct"/>
            <w:shd w:val="clear" w:color="auto" w:fill="auto"/>
            <w:vAlign w:val="center"/>
          </w:tcPr>
          <w:p w14:paraId="787B18E8" w14:textId="5F26995F" w:rsidR="00DE1BBD" w:rsidRPr="004D70F4" w:rsidRDefault="00DE1BBD" w:rsidP="00583870">
            <w:pPr>
              <w:pStyle w:val="TableText"/>
              <w:jc w:val="center"/>
              <w:rPr>
                <w:rFonts w:ascii="Times" w:hAnsi="Times"/>
              </w:rPr>
            </w:pPr>
            <w:r w:rsidRPr="006B5CF1">
              <w:rPr>
                <w:rFonts w:eastAsia="Times New Roman"/>
                <w:color w:val="000000"/>
              </w:rPr>
              <w:t>$</w:t>
            </w:r>
            <w:r w:rsidR="0090680E" w:rsidRPr="0090680E">
              <w:rPr>
                <w:rFonts w:eastAsia="Times New Roman"/>
                <w:b/>
                <w:bCs/>
                <w:color w:val="000000"/>
              </w:rPr>
              <w:t>redacted</w:t>
            </w:r>
          </w:p>
        </w:tc>
        <w:tc>
          <w:tcPr>
            <w:tcW w:w="1274" w:type="pct"/>
            <w:shd w:val="clear" w:color="auto" w:fill="auto"/>
            <w:vAlign w:val="center"/>
          </w:tcPr>
          <w:p w14:paraId="25777D3C" w14:textId="2F240DB7" w:rsidR="00DE1BBD" w:rsidRPr="004D70F4" w:rsidRDefault="00DE1BBD" w:rsidP="00583870">
            <w:pPr>
              <w:pStyle w:val="TableText"/>
              <w:jc w:val="center"/>
              <w:rPr>
                <w:rFonts w:ascii="Times" w:hAnsi="Times"/>
              </w:rPr>
            </w:pPr>
            <w:r w:rsidRPr="004D70F4">
              <w:rPr>
                <w:rFonts w:eastAsia="Times New Roman"/>
                <w:color w:val="000000"/>
              </w:rPr>
              <w:t>$</w:t>
            </w:r>
            <w:r w:rsidRPr="0090680E">
              <w:rPr>
                <w:rFonts w:eastAsia="Times New Roman"/>
                <w:color w:val="000000"/>
              </w:rPr>
              <w:t>7,917</w:t>
            </w:r>
          </w:p>
        </w:tc>
        <w:tc>
          <w:tcPr>
            <w:tcW w:w="838" w:type="pct"/>
            <w:shd w:val="clear" w:color="auto" w:fill="auto"/>
            <w:vAlign w:val="center"/>
          </w:tcPr>
          <w:p w14:paraId="740C317F" w14:textId="66D6C0A1" w:rsidR="00DE1BBD" w:rsidRPr="0090680E" w:rsidRDefault="00DE1BBD" w:rsidP="00583870">
            <w:pPr>
              <w:pStyle w:val="TableText"/>
              <w:jc w:val="center"/>
              <w:rPr>
                <w:rFonts w:ascii="Times" w:hAnsi="Times"/>
                <w:vertAlign w:val="superscript"/>
              </w:rPr>
            </w:pPr>
            <w:r w:rsidRPr="004D70F4">
              <w:rPr>
                <w:rFonts w:eastAsia="Times New Roman"/>
                <w:color w:val="000000"/>
              </w:rPr>
              <w:t>$</w:t>
            </w:r>
            <w:r w:rsidR="0090680E" w:rsidRPr="0090680E">
              <w:rPr>
                <w:rFonts w:eastAsia="Times New Roman"/>
                <w:b/>
                <w:bCs/>
                <w:color w:val="000000"/>
              </w:rPr>
              <w:t>redacted</w:t>
            </w:r>
          </w:p>
        </w:tc>
      </w:tr>
      <w:tr w:rsidR="00DE1BBD" w:rsidRPr="004D70F4" w14:paraId="4FDC08D5" w14:textId="77777777" w:rsidTr="11FAFD31">
        <w:tc>
          <w:tcPr>
            <w:tcW w:w="1529" w:type="pct"/>
            <w:vAlign w:val="bottom"/>
          </w:tcPr>
          <w:p w14:paraId="643915F0" w14:textId="77777777" w:rsidR="00DE1BBD" w:rsidRPr="004D70F4" w:rsidRDefault="00DE1BBD" w:rsidP="00583870">
            <w:pPr>
              <w:pStyle w:val="TableText"/>
              <w:rPr>
                <w:rFonts w:ascii="Times" w:hAnsi="Times"/>
              </w:rPr>
            </w:pPr>
            <w:r w:rsidRPr="004D70F4">
              <w:t>Progression-free years gained</w:t>
            </w:r>
          </w:p>
        </w:tc>
        <w:tc>
          <w:tcPr>
            <w:tcW w:w="1359" w:type="pct"/>
            <w:vAlign w:val="bottom"/>
          </w:tcPr>
          <w:p w14:paraId="7D0B8DD2" w14:textId="77777777" w:rsidR="00DE1BBD" w:rsidRPr="004D70F4" w:rsidRDefault="00DE1BBD" w:rsidP="00583870">
            <w:pPr>
              <w:pStyle w:val="TableText"/>
              <w:jc w:val="center"/>
              <w:rPr>
                <w:rFonts w:ascii="Times" w:hAnsi="Times"/>
              </w:rPr>
            </w:pPr>
            <w:r w:rsidRPr="004D70F4">
              <w:t>0.79</w:t>
            </w:r>
          </w:p>
        </w:tc>
        <w:tc>
          <w:tcPr>
            <w:tcW w:w="1274" w:type="pct"/>
            <w:vAlign w:val="bottom"/>
          </w:tcPr>
          <w:p w14:paraId="3F4CB83C" w14:textId="77777777" w:rsidR="00DE1BBD" w:rsidRPr="004D70F4" w:rsidRDefault="00DE1BBD" w:rsidP="00583870">
            <w:pPr>
              <w:pStyle w:val="TableText"/>
              <w:jc w:val="center"/>
              <w:rPr>
                <w:rFonts w:ascii="Times" w:hAnsi="Times"/>
              </w:rPr>
            </w:pPr>
            <w:r w:rsidRPr="004D70F4">
              <w:t>0.51</w:t>
            </w:r>
          </w:p>
        </w:tc>
        <w:tc>
          <w:tcPr>
            <w:tcW w:w="838" w:type="pct"/>
            <w:vAlign w:val="bottom"/>
          </w:tcPr>
          <w:p w14:paraId="7D44B4E1" w14:textId="77777777" w:rsidR="00DE1BBD" w:rsidRPr="004D70F4" w:rsidRDefault="00DE1BBD" w:rsidP="00583870">
            <w:pPr>
              <w:pStyle w:val="TableText"/>
              <w:jc w:val="center"/>
            </w:pPr>
            <w:r w:rsidRPr="004D70F4">
              <w:t>0.28</w:t>
            </w:r>
          </w:p>
        </w:tc>
      </w:tr>
      <w:tr w:rsidR="00DE1BBD" w:rsidRPr="004D70F4" w14:paraId="65ED2B9A" w14:textId="77777777" w:rsidTr="11FAFD31">
        <w:tc>
          <w:tcPr>
            <w:tcW w:w="4162" w:type="pct"/>
            <w:gridSpan w:val="3"/>
            <w:vAlign w:val="center"/>
          </w:tcPr>
          <w:p w14:paraId="474BBF33" w14:textId="77777777" w:rsidR="00DE1BBD" w:rsidRPr="004D70F4" w:rsidRDefault="00DE1BBD" w:rsidP="00583870">
            <w:pPr>
              <w:pStyle w:val="TableText"/>
              <w:rPr>
                <w:rFonts w:ascii="Times" w:hAnsi="Times"/>
              </w:rPr>
            </w:pPr>
            <w:r w:rsidRPr="004D70F4">
              <w:t>Incremental cost/extra LYG gained</w:t>
            </w:r>
          </w:p>
        </w:tc>
        <w:tc>
          <w:tcPr>
            <w:tcW w:w="838" w:type="pct"/>
            <w:vAlign w:val="center"/>
          </w:tcPr>
          <w:p w14:paraId="3FF2EFFA" w14:textId="57A8C8A3" w:rsidR="00DE1BBD" w:rsidRPr="0090680E" w:rsidRDefault="00DE1BBD" w:rsidP="00583870">
            <w:pPr>
              <w:pStyle w:val="TableText"/>
              <w:jc w:val="center"/>
              <w:rPr>
                <w:rFonts w:ascii="Times" w:hAnsi="Times"/>
                <w:vertAlign w:val="superscript"/>
              </w:rPr>
            </w:pPr>
            <w:r w:rsidRPr="004D70F4">
              <w:rPr>
                <w:rFonts w:eastAsia="Times New Roman"/>
                <w:color w:val="000000"/>
              </w:rPr>
              <w:t>$</w:t>
            </w:r>
            <w:r w:rsidR="0090680E" w:rsidRPr="0090680E">
              <w:rPr>
                <w:rFonts w:eastAsia="Times New Roman"/>
                <w:b/>
                <w:bCs/>
                <w:color w:val="000000"/>
              </w:rPr>
              <w:t>redacted</w:t>
            </w:r>
          </w:p>
        </w:tc>
      </w:tr>
      <w:tr w:rsidR="00DE1BBD" w:rsidRPr="004D70F4" w14:paraId="019829FB" w14:textId="77777777" w:rsidTr="11FAFD31">
        <w:tc>
          <w:tcPr>
            <w:tcW w:w="5000" w:type="pct"/>
            <w:gridSpan w:val="4"/>
            <w:vAlign w:val="center"/>
          </w:tcPr>
          <w:p w14:paraId="56AE8E5B" w14:textId="77777777" w:rsidR="00DE1BBD" w:rsidRPr="004D70F4" w:rsidRDefault="00DE1BBD" w:rsidP="00583870">
            <w:pPr>
              <w:pStyle w:val="In-tableHeading"/>
              <w:rPr>
                <w:lang w:val="en-AU"/>
              </w:rPr>
            </w:pPr>
            <w:r w:rsidRPr="004D70F4">
              <w:rPr>
                <w:lang w:val="en-AU"/>
              </w:rPr>
              <w:t>Step 2: cost per LYG over 10 years</w:t>
            </w:r>
          </w:p>
        </w:tc>
      </w:tr>
      <w:tr w:rsidR="00DE1BBD" w:rsidRPr="004D70F4" w14:paraId="46782464" w14:textId="77777777" w:rsidTr="11FAFD31">
        <w:tc>
          <w:tcPr>
            <w:tcW w:w="1529" w:type="pct"/>
            <w:vAlign w:val="center"/>
          </w:tcPr>
          <w:p w14:paraId="458F2B65" w14:textId="77777777" w:rsidR="00DE1BBD" w:rsidRPr="004D70F4" w:rsidRDefault="00DE1BBD" w:rsidP="00583870">
            <w:pPr>
              <w:pStyle w:val="TableText"/>
              <w:rPr>
                <w:rFonts w:ascii="Times" w:hAnsi="Times"/>
              </w:rPr>
            </w:pPr>
            <w:r w:rsidRPr="004D70F4">
              <w:t>Costs</w:t>
            </w:r>
          </w:p>
        </w:tc>
        <w:tc>
          <w:tcPr>
            <w:tcW w:w="1359" w:type="pct"/>
            <w:vAlign w:val="bottom"/>
          </w:tcPr>
          <w:p w14:paraId="208097CA" w14:textId="0126017E" w:rsidR="00DE1BBD" w:rsidRPr="007A7A28" w:rsidRDefault="00DE1BBD" w:rsidP="00583870">
            <w:pPr>
              <w:pStyle w:val="TableText"/>
              <w:jc w:val="center"/>
              <w:rPr>
                <w:rFonts w:ascii="Times" w:hAnsi="Times"/>
                <w:szCs w:val="20"/>
              </w:rPr>
            </w:pPr>
            <w:r w:rsidRPr="00D02DE2">
              <w:rPr>
                <w:rFonts w:eastAsia="Arial Narrow" w:cs="Arial Narrow"/>
                <w:szCs w:val="20"/>
              </w:rPr>
              <w:t>$</w:t>
            </w:r>
            <w:r w:rsidR="0090680E" w:rsidRPr="00D02DE2">
              <w:rPr>
                <w:rFonts w:eastAsia="Arial Narrow" w:cs="Arial Narrow"/>
                <w:b/>
                <w:bCs/>
                <w:szCs w:val="20"/>
              </w:rPr>
              <w:t>redacted</w:t>
            </w:r>
          </w:p>
        </w:tc>
        <w:tc>
          <w:tcPr>
            <w:tcW w:w="1274" w:type="pct"/>
            <w:vAlign w:val="bottom"/>
          </w:tcPr>
          <w:p w14:paraId="004BD403" w14:textId="5D82B695" w:rsidR="00DE1BBD" w:rsidRPr="007A7A28" w:rsidRDefault="00DE1BBD" w:rsidP="00583870">
            <w:pPr>
              <w:pStyle w:val="TableText"/>
              <w:jc w:val="center"/>
              <w:rPr>
                <w:rFonts w:ascii="Times" w:hAnsi="Times"/>
                <w:szCs w:val="20"/>
                <w:vertAlign w:val="superscript"/>
              </w:rPr>
            </w:pPr>
            <w:r w:rsidRPr="00D02DE2">
              <w:rPr>
                <w:rFonts w:eastAsia="Arial Narrow" w:cs="Arial Narrow"/>
                <w:szCs w:val="20"/>
              </w:rPr>
              <w:t>$64,625</w:t>
            </w:r>
          </w:p>
        </w:tc>
        <w:tc>
          <w:tcPr>
            <w:tcW w:w="838" w:type="pct"/>
            <w:vAlign w:val="bottom"/>
          </w:tcPr>
          <w:p w14:paraId="78113055" w14:textId="2A13DDF2" w:rsidR="00DE1BBD" w:rsidRPr="000876D4" w:rsidRDefault="00DE1BBD" w:rsidP="00583870">
            <w:pPr>
              <w:pStyle w:val="TableText"/>
              <w:jc w:val="center"/>
              <w:rPr>
                <w:rFonts w:ascii="Times" w:hAnsi="Times"/>
                <w:szCs w:val="20"/>
                <w:vertAlign w:val="superscript"/>
              </w:rPr>
            </w:pPr>
            <w:r w:rsidRPr="00D02DE2">
              <w:rPr>
                <w:rFonts w:eastAsia="Arial Narrow" w:cs="Arial Narrow"/>
                <w:szCs w:val="20"/>
              </w:rPr>
              <w:t>$</w:t>
            </w:r>
            <w:r w:rsidR="0090680E" w:rsidRPr="00D02DE2">
              <w:rPr>
                <w:rFonts w:eastAsia="Arial Narrow" w:cs="Arial Narrow"/>
                <w:b/>
                <w:bCs/>
                <w:szCs w:val="20"/>
              </w:rPr>
              <w:t>redacted</w:t>
            </w:r>
          </w:p>
        </w:tc>
      </w:tr>
      <w:tr w:rsidR="00DE1BBD" w:rsidRPr="004D70F4" w14:paraId="78AC5BA5" w14:textId="77777777" w:rsidTr="11FAFD31">
        <w:tc>
          <w:tcPr>
            <w:tcW w:w="1529" w:type="pct"/>
            <w:vAlign w:val="center"/>
          </w:tcPr>
          <w:p w14:paraId="0A18ED9E" w14:textId="77777777" w:rsidR="00DE1BBD" w:rsidRPr="004D70F4" w:rsidRDefault="00DE1BBD" w:rsidP="00583870">
            <w:pPr>
              <w:pStyle w:val="TableText"/>
              <w:rPr>
                <w:rFonts w:ascii="Times" w:hAnsi="Times"/>
              </w:rPr>
            </w:pPr>
            <w:r w:rsidRPr="004D70F4">
              <w:t>LYG</w:t>
            </w:r>
          </w:p>
        </w:tc>
        <w:tc>
          <w:tcPr>
            <w:tcW w:w="1359" w:type="pct"/>
            <w:vAlign w:val="bottom"/>
          </w:tcPr>
          <w:p w14:paraId="79607F57" w14:textId="77777777" w:rsidR="00DE1BBD" w:rsidRPr="004D70F4" w:rsidRDefault="00DE1BBD" w:rsidP="00583870">
            <w:pPr>
              <w:pStyle w:val="TableText"/>
              <w:jc w:val="center"/>
              <w:rPr>
                <w:rFonts w:ascii="Times" w:hAnsi="Times"/>
              </w:rPr>
            </w:pPr>
            <w:r w:rsidRPr="004D70F4">
              <w:t>2.83</w:t>
            </w:r>
          </w:p>
        </w:tc>
        <w:tc>
          <w:tcPr>
            <w:tcW w:w="1274" w:type="pct"/>
            <w:vAlign w:val="bottom"/>
          </w:tcPr>
          <w:p w14:paraId="06022E9C" w14:textId="77777777" w:rsidR="00DE1BBD" w:rsidRPr="004D70F4" w:rsidRDefault="00DE1BBD" w:rsidP="00583870">
            <w:pPr>
              <w:pStyle w:val="TableText"/>
              <w:jc w:val="center"/>
              <w:rPr>
                <w:rFonts w:ascii="Times" w:hAnsi="Times"/>
              </w:rPr>
            </w:pPr>
            <w:r w:rsidRPr="004D70F4">
              <w:t>1.66</w:t>
            </w:r>
          </w:p>
        </w:tc>
        <w:tc>
          <w:tcPr>
            <w:tcW w:w="838" w:type="pct"/>
            <w:vAlign w:val="bottom"/>
          </w:tcPr>
          <w:p w14:paraId="1CC2CFD8" w14:textId="77777777" w:rsidR="00DE1BBD" w:rsidRPr="004D70F4" w:rsidRDefault="00DE1BBD" w:rsidP="00583870">
            <w:pPr>
              <w:pStyle w:val="TableText"/>
              <w:jc w:val="center"/>
            </w:pPr>
            <w:r w:rsidRPr="004D70F4">
              <w:t>1.168</w:t>
            </w:r>
          </w:p>
        </w:tc>
      </w:tr>
      <w:tr w:rsidR="00DE1BBD" w:rsidRPr="004D70F4" w14:paraId="5A3371A2" w14:textId="77777777" w:rsidTr="11FAFD31">
        <w:tc>
          <w:tcPr>
            <w:tcW w:w="4162" w:type="pct"/>
            <w:gridSpan w:val="3"/>
            <w:vAlign w:val="center"/>
          </w:tcPr>
          <w:p w14:paraId="0744C267" w14:textId="77777777" w:rsidR="00DE1BBD" w:rsidRPr="004D70F4" w:rsidRDefault="00DE1BBD" w:rsidP="00583870">
            <w:pPr>
              <w:pStyle w:val="TableText"/>
              <w:rPr>
                <w:rFonts w:ascii="Times" w:hAnsi="Times"/>
              </w:rPr>
            </w:pPr>
            <w:r w:rsidRPr="004D70F4">
              <w:t>Incremental cost/extra LYG gained</w:t>
            </w:r>
          </w:p>
        </w:tc>
        <w:tc>
          <w:tcPr>
            <w:tcW w:w="838" w:type="pct"/>
            <w:vAlign w:val="center"/>
          </w:tcPr>
          <w:p w14:paraId="73E2ADD3" w14:textId="573655F8" w:rsidR="00DE1BBD" w:rsidRPr="0090680E" w:rsidRDefault="00DE1BBD" w:rsidP="00583870">
            <w:pPr>
              <w:pStyle w:val="TableText"/>
              <w:jc w:val="center"/>
              <w:rPr>
                <w:rFonts w:ascii="Times" w:hAnsi="Times"/>
                <w:vertAlign w:val="superscript"/>
              </w:rPr>
            </w:pPr>
            <w:r w:rsidRPr="004D70F4">
              <w:t>$</w:t>
            </w:r>
            <w:r w:rsidR="0090680E" w:rsidRPr="0090680E">
              <w:rPr>
                <w:b/>
                <w:bCs/>
              </w:rPr>
              <w:t>redacted</w:t>
            </w:r>
          </w:p>
        </w:tc>
      </w:tr>
      <w:tr w:rsidR="00DE1BBD" w:rsidRPr="004D70F4" w14:paraId="1A4B01E7" w14:textId="77777777" w:rsidTr="11FAFD31">
        <w:tc>
          <w:tcPr>
            <w:tcW w:w="5000" w:type="pct"/>
            <w:gridSpan w:val="4"/>
            <w:vAlign w:val="center"/>
          </w:tcPr>
          <w:p w14:paraId="029B48F8" w14:textId="77777777" w:rsidR="00DE1BBD" w:rsidRPr="004D70F4" w:rsidRDefault="00DE1BBD" w:rsidP="00583870">
            <w:pPr>
              <w:pStyle w:val="In-tableHeading"/>
              <w:rPr>
                <w:lang w:val="en-AU"/>
              </w:rPr>
            </w:pPr>
            <w:r w:rsidRPr="004D70F4">
              <w:rPr>
                <w:lang w:val="en-AU"/>
              </w:rPr>
              <w:t>Step 3: cost per QALY over 10 years</w:t>
            </w:r>
          </w:p>
        </w:tc>
      </w:tr>
      <w:tr w:rsidR="00DE1BBD" w:rsidRPr="004D70F4" w14:paraId="4114B501" w14:textId="77777777" w:rsidTr="11FAFD31">
        <w:tc>
          <w:tcPr>
            <w:tcW w:w="1529" w:type="pct"/>
            <w:vAlign w:val="center"/>
          </w:tcPr>
          <w:p w14:paraId="4A94AA0D" w14:textId="77777777" w:rsidR="00DE1BBD" w:rsidRPr="004D70F4" w:rsidRDefault="00DE1BBD" w:rsidP="00583870">
            <w:pPr>
              <w:pStyle w:val="TableText"/>
              <w:rPr>
                <w:rFonts w:ascii="Times" w:hAnsi="Times"/>
              </w:rPr>
            </w:pPr>
            <w:r w:rsidRPr="004D70F4">
              <w:t>Costs</w:t>
            </w:r>
          </w:p>
        </w:tc>
        <w:tc>
          <w:tcPr>
            <w:tcW w:w="1359" w:type="pct"/>
            <w:vAlign w:val="bottom"/>
          </w:tcPr>
          <w:p w14:paraId="444C88DE" w14:textId="5A8CF441" w:rsidR="00DE1BBD" w:rsidRPr="000876D4" w:rsidRDefault="00DE1BBD" w:rsidP="00583870">
            <w:pPr>
              <w:pStyle w:val="TableText"/>
              <w:jc w:val="center"/>
              <w:rPr>
                <w:rFonts w:ascii="Times" w:hAnsi="Times"/>
                <w:szCs w:val="20"/>
                <w:vertAlign w:val="superscript"/>
              </w:rPr>
            </w:pPr>
            <w:r w:rsidRPr="00D02DE2">
              <w:rPr>
                <w:rFonts w:eastAsia="Arial Narrow" w:cs="Arial Narrow"/>
                <w:szCs w:val="20"/>
              </w:rPr>
              <w:t>$</w:t>
            </w:r>
            <w:r w:rsidR="0090680E" w:rsidRPr="00D02DE2">
              <w:rPr>
                <w:rFonts w:eastAsia="Arial Narrow" w:cs="Arial Narrow"/>
                <w:b/>
                <w:bCs/>
                <w:szCs w:val="20"/>
              </w:rPr>
              <w:t>redacted</w:t>
            </w:r>
          </w:p>
        </w:tc>
        <w:tc>
          <w:tcPr>
            <w:tcW w:w="1274" w:type="pct"/>
            <w:vAlign w:val="bottom"/>
          </w:tcPr>
          <w:p w14:paraId="472B85D0" w14:textId="58AB4B6E" w:rsidR="00DE1BBD" w:rsidRPr="000876D4" w:rsidRDefault="00DE1BBD" w:rsidP="00583870">
            <w:pPr>
              <w:pStyle w:val="TableText"/>
              <w:jc w:val="center"/>
              <w:rPr>
                <w:rFonts w:ascii="Times" w:hAnsi="Times"/>
                <w:szCs w:val="20"/>
                <w:vertAlign w:val="superscript"/>
              </w:rPr>
            </w:pPr>
            <w:r w:rsidRPr="00D02DE2">
              <w:rPr>
                <w:rFonts w:eastAsia="Arial Narrow" w:cs="Arial Narrow"/>
                <w:szCs w:val="20"/>
              </w:rPr>
              <w:t>$64,625</w:t>
            </w:r>
          </w:p>
        </w:tc>
        <w:tc>
          <w:tcPr>
            <w:tcW w:w="838" w:type="pct"/>
            <w:vAlign w:val="bottom"/>
          </w:tcPr>
          <w:p w14:paraId="6BB95C3E" w14:textId="6C834C02" w:rsidR="00DE1BBD" w:rsidRPr="000876D4" w:rsidRDefault="00DE1BBD" w:rsidP="00583870">
            <w:pPr>
              <w:pStyle w:val="TableText"/>
              <w:jc w:val="center"/>
              <w:rPr>
                <w:rFonts w:ascii="Times" w:hAnsi="Times"/>
                <w:szCs w:val="20"/>
              </w:rPr>
            </w:pPr>
            <w:r w:rsidRPr="00D02DE2">
              <w:rPr>
                <w:rFonts w:eastAsia="Arial Narrow" w:cs="Arial Narrow"/>
                <w:szCs w:val="20"/>
              </w:rPr>
              <w:t>$</w:t>
            </w:r>
            <w:r w:rsidR="0090680E" w:rsidRPr="00D02DE2">
              <w:rPr>
                <w:rFonts w:eastAsia="Arial Narrow" w:cs="Arial Narrow"/>
                <w:b/>
                <w:bCs/>
                <w:szCs w:val="20"/>
              </w:rPr>
              <w:t>redacted</w:t>
            </w:r>
          </w:p>
        </w:tc>
      </w:tr>
      <w:tr w:rsidR="00DE1BBD" w:rsidRPr="004D70F4" w14:paraId="3EF5B45A" w14:textId="77777777" w:rsidTr="11FAFD31">
        <w:tc>
          <w:tcPr>
            <w:tcW w:w="1529" w:type="pct"/>
            <w:vAlign w:val="center"/>
          </w:tcPr>
          <w:p w14:paraId="5270B237" w14:textId="77777777" w:rsidR="00DE1BBD" w:rsidRPr="004D70F4" w:rsidRDefault="00DE1BBD" w:rsidP="00583870">
            <w:pPr>
              <w:pStyle w:val="TableText"/>
              <w:rPr>
                <w:rFonts w:ascii="Times" w:hAnsi="Times"/>
              </w:rPr>
            </w:pPr>
            <w:r w:rsidRPr="004D70F4">
              <w:t>QALY</w:t>
            </w:r>
          </w:p>
        </w:tc>
        <w:tc>
          <w:tcPr>
            <w:tcW w:w="1359" w:type="pct"/>
            <w:vAlign w:val="bottom"/>
          </w:tcPr>
          <w:p w14:paraId="4871D36D" w14:textId="77777777" w:rsidR="00DE1BBD" w:rsidRPr="004D70F4" w:rsidRDefault="00DE1BBD" w:rsidP="00583870">
            <w:pPr>
              <w:pStyle w:val="TableText"/>
              <w:jc w:val="center"/>
              <w:rPr>
                <w:rFonts w:ascii="Times" w:hAnsi="Times"/>
              </w:rPr>
            </w:pPr>
            <w:r w:rsidRPr="004D70F4">
              <w:t>1.965</w:t>
            </w:r>
          </w:p>
        </w:tc>
        <w:tc>
          <w:tcPr>
            <w:tcW w:w="1274" w:type="pct"/>
            <w:vAlign w:val="bottom"/>
          </w:tcPr>
          <w:p w14:paraId="51C8E892" w14:textId="77777777" w:rsidR="00DE1BBD" w:rsidRPr="004D70F4" w:rsidRDefault="00DE1BBD" w:rsidP="00583870">
            <w:pPr>
              <w:pStyle w:val="TableText"/>
              <w:jc w:val="center"/>
              <w:rPr>
                <w:rFonts w:ascii="Times" w:hAnsi="Times"/>
              </w:rPr>
            </w:pPr>
            <w:r w:rsidRPr="004D70F4">
              <w:t>1.086</w:t>
            </w:r>
          </w:p>
        </w:tc>
        <w:tc>
          <w:tcPr>
            <w:tcW w:w="838" w:type="pct"/>
            <w:vAlign w:val="bottom"/>
          </w:tcPr>
          <w:p w14:paraId="238EF911" w14:textId="77777777" w:rsidR="00DE1BBD" w:rsidRPr="004D70F4" w:rsidRDefault="00DE1BBD" w:rsidP="00583870">
            <w:pPr>
              <w:pStyle w:val="TableText"/>
              <w:jc w:val="center"/>
            </w:pPr>
            <w:r w:rsidRPr="004D70F4">
              <w:t>0.880</w:t>
            </w:r>
          </w:p>
        </w:tc>
      </w:tr>
      <w:tr w:rsidR="00DE1BBD" w:rsidRPr="004D70F4" w14:paraId="328FFA20" w14:textId="77777777" w:rsidTr="11FAFD31">
        <w:tc>
          <w:tcPr>
            <w:tcW w:w="4162" w:type="pct"/>
            <w:gridSpan w:val="3"/>
            <w:vAlign w:val="center"/>
          </w:tcPr>
          <w:p w14:paraId="7314BCDB" w14:textId="77777777" w:rsidR="00DE1BBD" w:rsidRPr="004D70F4" w:rsidRDefault="00DE1BBD" w:rsidP="00583870">
            <w:pPr>
              <w:pStyle w:val="TableText"/>
              <w:rPr>
                <w:rFonts w:ascii="Times" w:hAnsi="Times"/>
                <w:b/>
                <w:bCs/>
              </w:rPr>
            </w:pPr>
            <w:r w:rsidRPr="004D70F4">
              <w:rPr>
                <w:b/>
              </w:rPr>
              <w:t>Incremental cost/extra QALY gained</w:t>
            </w:r>
          </w:p>
        </w:tc>
        <w:tc>
          <w:tcPr>
            <w:tcW w:w="838" w:type="pct"/>
            <w:vAlign w:val="center"/>
          </w:tcPr>
          <w:p w14:paraId="7D9E076E" w14:textId="0407E63C" w:rsidR="00DE1BBD" w:rsidRPr="000876D4" w:rsidRDefault="00DE1BBD" w:rsidP="00583870">
            <w:pPr>
              <w:pStyle w:val="TableText"/>
              <w:jc w:val="center"/>
              <w:rPr>
                <w:rFonts w:ascii="Times" w:hAnsi="Times"/>
                <w:b/>
                <w:bCs/>
                <w:szCs w:val="20"/>
              </w:rPr>
            </w:pPr>
            <w:r w:rsidRPr="000876D4">
              <w:rPr>
                <w:b/>
                <w:szCs w:val="20"/>
              </w:rPr>
              <w:t>$</w:t>
            </w:r>
            <w:r w:rsidR="0090680E" w:rsidRPr="00D02DE2">
              <w:rPr>
                <w:rFonts w:eastAsia="Arial Narrow" w:cs="Arial Narrow"/>
                <w:b/>
                <w:bCs/>
                <w:szCs w:val="20"/>
              </w:rPr>
              <w:t>redacted</w:t>
            </w:r>
            <w:r w:rsidR="009640CC" w:rsidRPr="00D02DE2">
              <w:rPr>
                <w:rFonts w:eastAsia="Arial Narrow" w:cs="Arial Narrow"/>
                <w:szCs w:val="20"/>
                <w:vertAlign w:val="superscript"/>
              </w:rPr>
              <w:t>1</w:t>
            </w:r>
          </w:p>
        </w:tc>
      </w:tr>
    </w:tbl>
    <w:p w14:paraId="587B7E82" w14:textId="77777777" w:rsidR="00DE1BBD" w:rsidRDefault="00DE1BBD" w:rsidP="00DE1BBD">
      <w:pPr>
        <w:pStyle w:val="FooterTableFigure"/>
      </w:pPr>
      <w:r w:rsidRPr="004D70F4">
        <w:t>Source: Tables 3.29 -3.31, p148 of the submission.  LYG = life year gained; QALY = quality adjusted life year</w:t>
      </w:r>
    </w:p>
    <w:p w14:paraId="6A143D77" w14:textId="3E1848DD" w:rsidR="00C86BF9" w:rsidRPr="003B3240" w:rsidRDefault="00C86BF9" w:rsidP="00C86BF9">
      <w:pPr>
        <w:pStyle w:val="FooterTableFigure"/>
        <w:keepNext/>
        <w:keepLines/>
        <w:rPr>
          <w:i/>
          <w:iCs/>
        </w:rPr>
      </w:pPr>
      <w:r w:rsidRPr="003B3240">
        <w:rPr>
          <w:i/>
          <w:iCs/>
        </w:rPr>
        <w:t xml:space="preserve">The </w:t>
      </w:r>
      <w:r w:rsidR="0090680E" w:rsidRPr="0090680E">
        <w:rPr>
          <w:b/>
          <w:bCs/>
          <w:i/>
          <w:iCs/>
        </w:rPr>
        <w:t>redacted</w:t>
      </w:r>
      <w:r w:rsidRPr="003B3240">
        <w:rPr>
          <w:i/>
          <w:iCs/>
        </w:rPr>
        <w:t xml:space="preserve"> values correspond to the following range</w:t>
      </w:r>
    </w:p>
    <w:p w14:paraId="794BC011" w14:textId="1E74249E" w:rsidR="00C86BF9" w:rsidRPr="00F55099" w:rsidRDefault="00C86BF9" w:rsidP="00F55099">
      <w:pPr>
        <w:pStyle w:val="FooterTableFigure"/>
        <w:spacing w:after="240"/>
        <w:contextualSpacing w:val="0"/>
        <w:rPr>
          <w:i/>
          <w:iCs/>
        </w:rPr>
      </w:pPr>
      <w:r w:rsidRPr="003B3240">
        <w:rPr>
          <w:i/>
          <w:iCs/>
          <w:vertAlign w:val="superscript"/>
        </w:rPr>
        <w:t>1</w:t>
      </w:r>
      <w:r w:rsidRPr="00E43915">
        <w:rPr>
          <w:rFonts w:ascii="Open Sans" w:eastAsiaTheme="minorHAnsi" w:hAnsi="Open Sans" w:cs="Open Sans"/>
          <w:snapToGrid/>
          <w:color w:val="222222"/>
          <w:sz w:val="20"/>
          <w:szCs w:val="20"/>
          <w:shd w:val="clear" w:color="auto" w:fill="FFFFFF"/>
          <w:lang w:eastAsia="en-US"/>
        </w:rPr>
        <w:t xml:space="preserve"> </w:t>
      </w:r>
      <w:r w:rsidRPr="003B3240">
        <w:rPr>
          <w:i/>
          <w:iCs/>
        </w:rPr>
        <w:t>$45,000 to &lt; $55,000</w:t>
      </w:r>
    </w:p>
    <w:p w14:paraId="2AA77E80" w14:textId="416929CB" w:rsidR="00DE1BBD" w:rsidRDefault="00DE1BBD" w:rsidP="00E76AE0">
      <w:pPr>
        <w:pStyle w:val="Instructionaltext"/>
        <w:rPr>
          <w:color w:val="000000" w:themeColor="text1"/>
        </w:rPr>
      </w:pPr>
      <w:r>
        <w:rPr>
          <w:color w:val="000000" w:themeColor="text1"/>
        </w:rPr>
        <w:t xml:space="preserve">The submission presented results of the ITT model. </w:t>
      </w:r>
    </w:p>
    <w:p w14:paraId="068B17B9" w14:textId="5C84EC89" w:rsidR="00DE1BBD" w:rsidRPr="00452811" w:rsidRDefault="00DE1BBD" w:rsidP="0066027B">
      <w:pPr>
        <w:pStyle w:val="Caption"/>
        <w:rPr>
          <w:rStyle w:val="CommentReference"/>
          <w:rFonts w:ascii="Franklin Gothic Book" w:eastAsiaTheme="minorHAnsi" w:hAnsi="Franklin Gothic Book" w:cstheme="minorBidi"/>
          <w:b w:val="0"/>
          <w:bCs w:val="0"/>
          <w:color w:val="258221"/>
          <w:sz w:val="20"/>
          <w:szCs w:val="20"/>
        </w:rPr>
      </w:pPr>
      <w:bookmarkStart w:id="39" w:name="_Ref164517376"/>
      <w:r w:rsidRPr="00452811">
        <w:t xml:space="preserve">Table </w:t>
      </w:r>
      <w:r w:rsidR="008F6B43">
        <w:fldChar w:fldCharType="begin"/>
      </w:r>
      <w:r w:rsidR="008F6B43">
        <w:instrText xml:space="preserve"> SEQ Table \* ARABIC </w:instrText>
      </w:r>
      <w:r w:rsidR="008F6B43">
        <w:fldChar w:fldCharType="separate"/>
      </w:r>
      <w:r w:rsidR="00325DE1">
        <w:rPr>
          <w:noProof/>
        </w:rPr>
        <w:t>12</w:t>
      </w:r>
      <w:r w:rsidR="008F6B43">
        <w:rPr>
          <w:noProof/>
        </w:rPr>
        <w:fldChar w:fldCharType="end"/>
      </w:r>
      <w:bookmarkEnd w:id="39"/>
      <w:r w:rsidR="00452811">
        <w:rPr>
          <w:noProof/>
        </w:rPr>
        <w:tab/>
      </w:r>
      <w:r w:rsidRPr="00452811">
        <w:rPr>
          <w:rStyle w:val="CommentReference"/>
          <w:sz w:val="20"/>
          <w:szCs w:val="20"/>
        </w:rPr>
        <w:t xml:space="preserve">Results of the economic evaluation in the ITT model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7"/>
        <w:gridCol w:w="1511"/>
      </w:tblGrid>
      <w:tr w:rsidR="00DE1BBD" w:rsidRPr="004D70F4" w14:paraId="5DDE0ADF" w14:textId="77777777" w:rsidTr="11FAFD31">
        <w:trPr>
          <w:tblHeader/>
        </w:trPr>
        <w:tc>
          <w:tcPr>
            <w:tcW w:w="1529" w:type="pct"/>
            <w:vAlign w:val="center"/>
          </w:tcPr>
          <w:p w14:paraId="2119C24A" w14:textId="77777777" w:rsidR="00DE1BBD" w:rsidRPr="004D70F4" w:rsidRDefault="00DE1BBD" w:rsidP="00583870">
            <w:pPr>
              <w:pStyle w:val="In-tableHeading"/>
              <w:rPr>
                <w:lang w:val="en-AU"/>
              </w:rPr>
            </w:pPr>
            <w:r w:rsidRPr="004D70F4">
              <w:rPr>
                <w:lang w:val="en-AU"/>
              </w:rPr>
              <w:t>Component</w:t>
            </w:r>
          </w:p>
        </w:tc>
        <w:tc>
          <w:tcPr>
            <w:tcW w:w="1359" w:type="pct"/>
            <w:vAlign w:val="center"/>
          </w:tcPr>
          <w:p w14:paraId="743F5F8E" w14:textId="77777777" w:rsidR="00DE1BBD" w:rsidRPr="004D70F4" w:rsidRDefault="00DE1BBD" w:rsidP="00583870">
            <w:pPr>
              <w:pStyle w:val="In-tableHeading"/>
              <w:jc w:val="center"/>
              <w:rPr>
                <w:lang w:val="en-AU"/>
              </w:rPr>
            </w:pPr>
            <w:r w:rsidRPr="004D70F4">
              <w:rPr>
                <w:lang w:val="en-AU"/>
              </w:rPr>
              <w:t>Olaparib</w:t>
            </w:r>
          </w:p>
        </w:tc>
        <w:tc>
          <w:tcPr>
            <w:tcW w:w="1274" w:type="pct"/>
            <w:vAlign w:val="center"/>
          </w:tcPr>
          <w:p w14:paraId="3E41C026" w14:textId="77777777" w:rsidR="00DE1BBD" w:rsidRPr="004D70F4" w:rsidRDefault="00DE1BBD" w:rsidP="00583870">
            <w:pPr>
              <w:pStyle w:val="In-tableHeading"/>
              <w:jc w:val="center"/>
              <w:rPr>
                <w:lang w:val="en-AU"/>
              </w:rPr>
            </w:pPr>
            <w:r w:rsidRPr="004D70F4">
              <w:rPr>
                <w:lang w:val="en-AU"/>
              </w:rPr>
              <w:t>Chemotherapy</w:t>
            </w:r>
          </w:p>
        </w:tc>
        <w:tc>
          <w:tcPr>
            <w:tcW w:w="838" w:type="pct"/>
            <w:vAlign w:val="center"/>
          </w:tcPr>
          <w:p w14:paraId="7B754B7E" w14:textId="77777777" w:rsidR="00DE1BBD" w:rsidRPr="004D70F4" w:rsidRDefault="00DE1BBD" w:rsidP="00583870">
            <w:pPr>
              <w:pStyle w:val="In-tableHeading"/>
              <w:jc w:val="center"/>
              <w:rPr>
                <w:lang w:val="en-AU"/>
              </w:rPr>
            </w:pPr>
            <w:r w:rsidRPr="004D70F4">
              <w:rPr>
                <w:lang w:val="en-AU"/>
              </w:rPr>
              <w:t>Increment</w:t>
            </w:r>
          </w:p>
        </w:tc>
      </w:tr>
      <w:tr w:rsidR="00DE1BBD" w:rsidRPr="004D70F4" w14:paraId="5A4FDAEB" w14:textId="77777777" w:rsidTr="00081714">
        <w:tc>
          <w:tcPr>
            <w:tcW w:w="1529" w:type="pct"/>
            <w:vAlign w:val="center"/>
          </w:tcPr>
          <w:p w14:paraId="2A53EEA5" w14:textId="77777777" w:rsidR="00DE1BBD" w:rsidRPr="004D70F4" w:rsidRDefault="00DE1BBD" w:rsidP="00583870">
            <w:pPr>
              <w:pStyle w:val="TableText"/>
              <w:rPr>
                <w:rFonts w:ascii="Times" w:hAnsi="Times"/>
              </w:rPr>
            </w:pPr>
            <w:r w:rsidRPr="004D70F4">
              <w:t>Costs</w:t>
            </w:r>
          </w:p>
        </w:tc>
        <w:tc>
          <w:tcPr>
            <w:tcW w:w="1359" w:type="pct"/>
            <w:vAlign w:val="bottom"/>
          </w:tcPr>
          <w:p w14:paraId="70F6FD6A" w14:textId="44B0218C" w:rsidR="00DE1BBD" w:rsidRPr="0090680E" w:rsidRDefault="00DE1BBD" w:rsidP="00583870">
            <w:pPr>
              <w:pStyle w:val="TableText"/>
              <w:jc w:val="center"/>
              <w:rPr>
                <w:vertAlign w:val="superscript"/>
              </w:rPr>
            </w:pPr>
            <w:r w:rsidRPr="004D70F4">
              <w:t>$</w:t>
            </w:r>
            <w:r w:rsidR="0090680E" w:rsidRPr="0090680E">
              <w:rPr>
                <w:b/>
                <w:bCs/>
              </w:rPr>
              <w:t>redacted</w:t>
            </w:r>
          </w:p>
        </w:tc>
        <w:tc>
          <w:tcPr>
            <w:tcW w:w="1274" w:type="pct"/>
            <w:shd w:val="clear" w:color="auto" w:fill="auto"/>
            <w:vAlign w:val="bottom"/>
          </w:tcPr>
          <w:p w14:paraId="4E64C4AB" w14:textId="77DBC62E" w:rsidR="00DE1BBD" w:rsidRPr="0090680E" w:rsidRDefault="00DE1BBD" w:rsidP="00583870">
            <w:pPr>
              <w:pStyle w:val="TableText"/>
              <w:jc w:val="center"/>
              <w:rPr>
                <w:vertAlign w:val="superscript"/>
              </w:rPr>
            </w:pPr>
            <w:r w:rsidRPr="004D70F4">
              <w:t>$</w:t>
            </w:r>
            <w:r w:rsidRPr="0090680E">
              <w:t>65,260</w:t>
            </w:r>
          </w:p>
        </w:tc>
        <w:tc>
          <w:tcPr>
            <w:tcW w:w="838" w:type="pct"/>
            <w:shd w:val="clear" w:color="auto" w:fill="auto"/>
            <w:vAlign w:val="bottom"/>
          </w:tcPr>
          <w:p w14:paraId="0AD9A306" w14:textId="3403DAD7" w:rsidR="00DE1BBD" w:rsidRPr="0090680E" w:rsidRDefault="00DE1BBD" w:rsidP="00583870">
            <w:pPr>
              <w:pStyle w:val="TableText"/>
              <w:jc w:val="center"/>
              <w:rPr>
                <w:vertAlign w:val="superscript"/>
              </w:rPr>
            </w:pPr>
            <w:r w:rsidRPr="004D70F4">
              <w:t>$</w:t>
            </w:r>
            <w:r w:rsidR="0090680E" w:rsidRPr="0090680E">
              <w:rPr>
                <w:b/>
                <w:bCs/>
              </w:rPr>
              <w:t>redacted</w:t>
            </w:r>
          </w:p>
        </w:tc>
      </w:tr>
      <w:tr w:rsidR="00DE1BBD" w:rsidRPr="004D70F4" w14:paraId="4F654EB8" w14:textId="77777777" w:rsidTr="11FAFD31">
        <w:trPr>
          <w:trHeight w:val="73"/>
        </w:trPr>
        <w:tc>
          <w:tcPr>
            <w:tcW w:w="1529" w:type="pct"/>
            <w:vAlign w:val="center"/>
          </w:tcPr>
          <w:p w14:paraId="448E5CFC" w14:textId="77777777" w:rsidR="00DE1BBD" w:rsidRPr="004D70F4" w:rsidRDefault="00DE1BBD" w:rsidP="00583870">
            <w:pPr>
              <w:pStyle w:val="TableText"/>
              <w:rPr>
                <w:rFonts w:ascii="Times" w:hAnsi="Times"/>
              </w:rPr>
            </w:pPr>
            <w:r w:rsidRPr="004D70F4">
              <w:t>LYG</w:t>
            </w:r>
          </w:p>
        </w:tc>
        <w:tc>
          <w:tcPr>
            <w:tcW w:w="1359" w:type="pct"/>
            <w:vAlign w:val="bottom"/>
          </w:tcPr>
          <w:p w14:paraId="249213CE" w14:textId="77777777" w:rsidR="00DE1BBD" w:rsidRPr="004D70F4" w:rsidRDefault="00DE1BBD" w:rsidP="00583870">
            <w:pPr>
              <w:pStyle w:val="TableText"/>
              <w:jc w:val="center"/>
            </w:pPr>
            <w:r w:rsidRPr="004D70F4">
              <w:t>2.18</w:t>
            </w:r>
          </w:p>
        </w:tc>
        <w:tc>
          <w:tcPr>
            <w:tcW w:w="1274" w:type="pct"/>
            <w:vAlign w:val="bottom"/>
          </w:tcPr>
          <w:p w14:paraId="130E7AAA" w14:textId="77777777" w:rsidR="00DE1BBD" w:rsidRPr="004D70F4" w:rsidRDefault="00DE1BBD" w:rsidP="00583870">
            <w:pPr>
              <w:pStyle w:val="TableText"/>
              <w:jc w:val="center"/>
            </w:pPr>
            <w:r w:rsidRPr="004D70F4">
              <w:t>1.91</w:t>
            </w:r>
          </w:p>
        </w:tc>
        <w:tc>
          <w:tcPr>
            <w:tcW w:w="838" w:type="pct"/>
            <w:vAlign w:val="bottom"/>
          </w:tcPr>
          <w:p w14:paraId="2D848168" w14:textId="77777777" w:rsidR="00DE1BBD" w:rsidRPr="004D70F4" w:rsidRDefault="00DE1BBD" w:rsidP="00583870">
            <w:pPr>
              <w:pStyle w:val="TableText"/>
              <w:jc w:val="center"/>
            </w:pPr>
            <w:r w:rsidRPr="004D70F4">
              <w:t>0.267</w:t>
            </w:r>
          </w:p>
        </w:tc>
      </w:tr>
      <w:tr w:rsidR="00DE1BBD" w:rsidRPr="004D70F4" w14:paraId="7E69B874" w14:textId="77777777" w:rsidTr="11FAFD31">
        <w:tc>
          <w:tcPr>
            <w:tcW w:w="4162" w:type="pct"/>
            <w:gridSpan w:val="3"/>
            <w:vAlign w:val="center"/>
          </w:tcPr>
          <w:p w14:paraId="7C89BDCF" w14:textId="77777777" w:rsidR="00DE1BBD" w:rsidRPr="004D70F4" w:rsidRDefault="00DE1BBD" w:rsidP="00583870">
            <w:pPr>
              <w:pStyle w:val="TableText"/>
            </w:pPr>
            <w:r w:rsidRPr="004D70F4">
              <w:t>Incremental cost/extra LYG gained</w:t>
            </w:r>
          </w:p>
        </w:tc>
        <w:tc>
          <w:tcPr>
            <w:tcW w:w="838" w:type="pct"/>
            <w:vAlign w:val="center"/>
          </w:tcPr>
          <w:p w14:paraId="4B43ADA7" w14:textId="12EF41ED" w:rsidR="00DE1BBD" w:rsidRPr="0090680E" w:rsidRDefault="00DE1BBD" w:rsidP="00583870">
            <w:pPr>
              <w:pStyle w:val="TableText"/>
              <w:jc w:val="center"/>
              <w:rPr>
                <w:vertAlign w:val="superscript"/>
              </w:rPr>
            </w:pPr>
            <w:r w:rsidRPr="004D70F4">
              <w:t>$</w:t>
            </w:r>
            <w:r w:rsidR="0090680E" w:rsidRPr="0090680E">
              <w:rPr>
                <w:b/>
                <w:bCs/>
              </w:rPr>
              <w:t>redacted</w:t>
            </w:r>
            <w:r w:rsidR="008B6C09">
              <w:rPr>
                <w:vertAlign w:val="superscript"/>
              </w:rPr>
              <w:t>2</w:t>
            </w:r>
          </w:p>
        </w:tc>
      </w:tr>
      <w:tr w:rsidR="00DE1BBD" w:rsidRPr="004D70F4" w14:paraId="2C3C81AB" w14:textId="77777777" w:rsidTr="00651A73">
        <w:tc>
          <w:tcPr>
            <w:tcW w:w="1529" w:type="pct"/>
            <w:vAlign w:val="center"/>
          </w:tcPr>
          <w:p w14:paraId="38D643B6" w14:textId="77777777" w:rsidR="00DE1BBD" w:rsidRPr="004D70F4" w:rsidRDefault="00DE1BBD" w:rsidP="00583870">
            <w:pPr>
              <w:pStyle w:val="TableText"/>
              <w:rPr>
                <w:rFonts w:ascii="Times" w:hAnsi="Times"/>
              </w:rPr>
            </w:pPr>
            <w:r w:rsidRPr="004D70F4">
              <w:t>Costs</w:t>
            </w:r>
          </w:p>
        </w:tc>
        <w:tc>
          <w:tcPr>
            <w:tcW w:w="1359" w:type="pct"/>
            <w:vAlign w:val="bottom"/>
          </w:tcPr>
          <w:p w14:paraId="0EF0637A" w14:textId="7FC0D013" w:rsidR="00DE1BBD" w:rsidRPr="004D70F4" w:rsidRDefault="00DE1BBD" w:rsidP="00583870">
            <w:pPr>
              <w:pStyle w:val="TableText"/>
              <w:jc w:val="center"/>
            </w:pPr>
            <w:r w:rsidRPr="004D70F4">
              <w:t>$</w:t>
            </w:r>
            <w:r w:rsidR="00423867" w:rsidRPr="0090680E">
              <w:t xml:space="preserve"> </w:t>
            </w:r>
            <w:r w:rsidR="0090680E" w:rsidRPr="0090680E">
              <w:rPr>
                <w:b/>
                <w:bCs/>
              </w:rPr>
              <w:t>redacted</w:t>
            </w:r>
          </w:p>
        </w:tc>
        <w:tc>
          <w:tcPr>
            <w:tcW w:w="1274" w:type="pct"/>
            <w:shd w:val="clear" w:color="auto" w:fill="auto"/>
            <w:vAlign w:val="bottom"/>
          </w:tcPr>
          <w:p w14:paraId="3725084D" w14:textId="10CB22DF" w:rsidR="00DE1BBD" w:rsidRPr="004D70F4" w:rsidRDefault="00DE1BBD" w:rsidP="00583870">
            <w:pPr>
              <w:pStyle w:val="TableText"/>
              <w:jc w:val="center"/>
            </w:pPr>
            <w:r w:rsidRPr="004D70F4">
              <w:t>$</w:t>
            </w:r>
            <w:r w:rsidRPr="0090680E">
              <w:t>65,260</w:t>
            </w:r>
          </w:p>
        </w:tc>
        <w:tc>
          <w:tcPr>
            <w:tcW w:w="838" w:type="pct"/>
            <w:vAlign w:val="bottom"/>
          </w:tcPr>
          <w:p w14:paraId="22BC48AB" w14:textId="22FB64D6" w:rsidR="00DE1BBD" w:rsidRPr="004D70F4" w:rsidRDefault="00DE1BBD" w:rsidP="00583870">
            <w:pPr>
              <w:pStyle w:val="TableText"/>
              <w:jc w:val="center"/>
            </w:pPr>
            <w:r w:rsidRPr="004D70F4">
              <w:t>$</w:t>
            </w:r>
            <w:r w:rsidR="00423867" w:rsidRPr="0090680E">
              <w:t xml:space="preserve"> </w:t>
            </w:r>
            <w:r w:rsidR="0090680E" w:rsidRPr="0090680E">
              <w:rPr>
                <w:b/>
                <w:bCs/>
              </w:rPr>
              <w:t>redacted</w:t>
            </w:r>
          </w:p>
        </w:tc>
      </w:tr>
      <w:tr w:rsidR="00DE1BBD" w:rsidRPr="004D70F4" w14:paraId="7F77E911" w14:textId="77777777" w:rsidTr="11FAFD31">
        <w:tc>
          <w:tcPr>
            <w:tcW w:w="1529" w:type="pct"/>
            <w:vAlign w:val="center"/>
          </w:tcPr>
          <w:p w14:paraId="284743C8" w14:textId="77777777" w:rsidR="00DE1BBD" w:rsidRPr="004D70F4" w:rsidRDefault="00DE1BBD" w:rsidP="00583870">
            <w:pPr>
              <w:pStyle w:val="TableText"/>
              <w:rPr>
                <w:rFonts w:ascii="Times" w:hAnsi="Times"/>
              </w:rPr>
            </w:pPr>
            <w:r w:rsidRPr="004D70F4">
              <w:t>QALY</w:t>
            </w:r>
          </w:p>
        </w:tc>
        <w:tc>
          <w:tcPr>
            <w:tcW w:w="1359" w:type="pct"/>
            <w:vAlign w:val="bottom"/>
          </w:tcPr>
          <w:p w14:paraId="51000E25" w14:textId="77777777" w:rsidR="00DE1BBD" w:rsidRPr="004D70F4" w:rsidRDefault="00DE1BBD" w:rsidP="00583870">
            <w:pPr>
              <w:pStyle w:val="TableText"/>
              <w:jc w:val="center"/>
            </w:pPr>
            <w:r w:rsidRPr="004D70F4">
              <w:t>1.648</w:t>
            </w:r>
          </w:p>
        </w:tc>
        <w:tc>
          <w:tcPr>
            <w:tcW w:w="1274" w:type="pct"/>
            <w:vAlign w:val="bottom"/>
          </w:tcPr>
          <w:p w14:paraId="0A2B8E04" w14:textId="77777777" w:rsidR="00DE1BBD" w:rsidRPr="004D70F4" w:rsidRDefault="00DE1BBD" w:rsidP="00583870">
            <w:pPr>
              <w:pStyle w:val="TableText"/>
              <w:jc w:val="center"/>
            </w:pPr>
            <w:r w:rsidRPr="004D70F4">
              <w:t>1.265</w:t>
            </w:r>
          </w:p>
        </w:tc>
        <w:tc>
          <w:tcPr>
            <w:tcW w:w="838" w:type="pct"/>
            <w:vAlign w:val="bottom"/>
          </w:tcPr>
          <w:p w14:paraId="43F3EA7F" w14:textId="77777777" w:rsidR="00DE1BBD" w:rsidRPr="004D70F4" w:rsidRDefault="00DE1BBD" w:rsidP="00583870">
            <w:pPr>
              <w:pStyle w:val="TableText"/>
              <w:jc w:val="center"/>
            </w:pPr>
            <w:r w:rsidRPr="004D70F4">
              <w:t>0.383</w:t>
            </w:r>
          </w:p>
        </w:tc>
      </w:tr>
      <w:tr w:rsidR="00DE1BBD" w:rsidRPr="004D70F4" w14:paraId="7CF34D45" w14:textId="77777777" w:rsidTr="11FAFD31">
        <w:tc>
          <w:tcPr>
            <w:tcW w:w="4162" w:type="pct"/>
            <w:gridSpan w:val="3"/>
            <w:vAlign w:val="center"/>
          </w:tcPr>
          <w:p w14:paraId="363536B3" w14:textId="77777777" w:rsidR="00DE1BBD" w:rsidRPr="004D70F4" w:rsidRDefault="00DE1BBD" w:rsidP="00583870">
            <w:pPr>
              <w:pStyle w:val="TableText"/>
              <w:rPr>
                <w:rFonts w:ascii="Times" w:hAnsi="Times"/>
                <w:b/>
                <w:bCs/>
              </w:rPr>
            </w:pPr>
            <w:r w:rsidRPr="004D70F4">
              <w:rPr>
                <w:b/>
              </w:rPr>
              <w:t>Incremental cost/extra QALY gained</w:t>
            </w:r>
          </w:p>
        </w:tc>
        <w:tc>
          <w:tcPr>
            <w:tcW w:w="838" w:type="pct"/>
            <w:vAlign w:val="center"/>
          </w:tcPr>
          <w:p w14:paraId="32803EBB" w14:textId="21582A01" w:rsidR="00DE1BBD" w:rsidRPr="004D70F4" w:rsidRDefault="00DE1BBD" w:rsidP="00583870">
            <w:pPr>
              <w:pStyle w:val="TableText"/>
              <w:jc w:val="center"/>
              <w:rPr>
                <w:b/>
                <w:bCs/>
              </w:rPr>
            </w:pPr>
            <w:r w:rsidRPr="004D70F4">
              <w:rPr>
                <w:b/>
              </w:rPr>
              <w:t>$</w:t>
            </w:r>
            <w:r w:rsidR="00423867" w:rsidRPr="0090680E">
              <w:t xml:space="preserve"> </w:t>
            </w:r>
            <w:r w:rsidR="0090680E" w:rsidRPr="0090680E">
              <w:rPr>
                <w:b/>
                <w:bCs/>
              </w:rPr>
              <w:t>redacted</w:t>
            </w:r>
            <w:r w:rsidR="005E78FF" w:rsidRPr="00794B3A">
              <w:rPr>
                <w:vertAlign w:val="superscript"/>
              </w:rPr>
              <w:t>1</w:t>
            </w:r>
          </w:p>
        </w:tc>
      </w:tr>
    </w:tbl>
    <w:p w14:paraId="1CE838E5" w14:textId="77777777" w:rsidR="00DE1BBD" w:rsidRPr="004D70F4" w:rsidRDefault="00DE1BBD" w:rsidP="00DE1BBD">
      <w:pPr>
        <w:pStyle w:val="FooterTableFigure"/>
      </w:pPr>
      <w:r w:rsidRPr="004D70F4">
        <w:t xml:space="preserve">Source: Tables 3.29 -3.31, p148 of the submission. </w:t>
      </w:r>
    </w:p>
    <w:p w14:paraId="13DB612A" w14:textId="77777777" w:rsidR="00DE1BBD" w:rsidRDefault="00DE1BBD" w:rsidP="00DE1BBD">
      <w:pPr>
        <w:pStyle w:val="FooterTableFigure"/>
      </w:pPr>
      <w:r w:rsidRPr="004D70F4">
        <w:t xml:space="preserve"> LYG = life year gained; QALY = quality adjusted life year</w:t>
      </w:r>
    </w:p>
    <w:p w14:paraId="582DA8F7" w14:textId="4E502E0C" w:rsidR="00594F44" w:rsidRPr="003B3240" w:rsidRDefault="00594F44" w:rsidP="00594F44">
      <w:pPr>
        <w:pStyle w:val="FooterTableFigure"/>
        <w:keepNext/>
        <w:keepLines/>
        <w:rPr>
          <w:i/>
          <w:iCs/>
        </w:rPr>
      </w:pPr>
      <w:r w:rsidRPr="003B3240">
        <w:rPr>
          <w:i/>
          <w:iCs/>
        </w:rPr>
        <w:t xml:space="preserve">The </w:t>
      </w:r>
      <w:r w:rsidR="0090680E" w:rsidRPr="0090680E">
        <w:rPr>
          <w:b/>
          <w:bCs/>
          <w:i/>
          <w:iCs/>
        </w:rPr>
        <w:t>redacted</w:t>
      </w:r>
      <w:r w:rsidRPr="003B3240">
        <w:rPr>
          <w:i/>
          <w:iCs/>
        </w:rPr>
        <w:t xml:space="preserve"> values correspond to the following ranges</w:t>
      </w:r>
    </w:p>
    <w:p w14:paraId="72668ACC" w14:textId="131D916D" w:rsidR="00594F44" w:rsidRPr="0090680E" w:rsidRDefault="00594F44" w:rsidP="00594F44">
      <w:pPr>
        <w:pStyle w:val="FooterTableFigure"/>
        <w:rPr>
          <w:i/>
          <w:iCs/>
        </w:rPr>
      </w:pPr>
      <w:r w:rsidRPr="0090680E">
        <w:rPr>
          <w:i/>
          <w:iCs/>
          <w:vertAlign w:val="superscript"/>
        </w:rPr>
        <w:t>1</w:t>
      </w:r>
      <w:r w:rsidR="00E43915" w:rsidRPr="00E43915">
        <w:rPr>
          <w:rFonts w:ascii="Open Sans" w:eastAsiaTheme="minorHAnsi" w:hAnsi="Open Sans" w:cs="Open Sans"/>
          <w:snapToGrid/>
          <w:color w:val="222222"/>
          <w:sz w:val="20"/>
          <w:szCs w:val="20"/>
          <w:shd w:val="clear" w:color="auto" w:fill="FFFFFF"/>
          <w:lang w:eastAsia="en-US"/>
        </w:rPr>
        <w:t xml:space="preserve"> </w:t>
      </w:r>
      <w:r w:rsidRPr="0090680E">
        <w:rPr>
          <w:i/>
          <w:iCs/>
        </w:rPr>
        <w:t>$75,000 to &lt; $95,000</w:t>
      </w:r>
    </w:p>
    <w:p w14:paraId="2209E3FA" w14:textId="35F10851" w:rsidR="00594F44" w:rsidRPr="00F55099" w:rsidRDefault="008B6C09" w:rsidP="00DE1BBD">
      <w:pPr>
        <w:pStyle w:val="FooterTableFigure"/>
        <w:rPr>
          <w:i/>
          <w:iCs/>
        </w:rPr>
      </w:pPr>
      <w:r>
        <w:rPr>
          <w:i/>
          <w:iCs/>
          <w:vertAlign w:val="superscript"/>
        </w:rPr>
        <w:t>2</w:t>
      </w:r>
      <w:r w:rsidR="00594F44" w:rsidRPr="0090680E">
        <w:rPr>
          <w:i/>
          <w:iCs/>
        </w:rPr>
        <w:t>$95,000 to &lt; $115,000</w:t>
      </w:r>
    </w:p>
    <w:p w14:paraId="5B55953B" w14:textId="67ADA010" w:rsidR="00DE1BBD" w:rsidRDefault="00C811C0" w:rsidP="00C811C0">
      <w:pPr>
        <w:pStyle w:val="Heading3"/>
      </w:pPr>
      <w:r>
        <w:t>Sensitivity</w:t>
      </w:r>
      <w:r w:rsidRPr="00FE6CB5">
        <w:t xml:space="preserve"> analysis</w:t>
      </w:r>
    </w:p>
    <w:p w14:paraId="4DDB51A9" w14:textId="1F574055" w:rsidR="00801332" w:rsidRPr="00801332" w:rsidRDefault="00DE1BBD" w:rsidP="00801332">
      <w:r w:rsidRPr="004D70F4">
        <w:t xml:space="preserve">The results of key univariate sensitivity analyses </w:t>
      </w:r>
      <w:r>
        <w:t xml:space="preserve">of the subgroup model and the ITT model </w:t>
      </w:r>
      <w:r w:rsidRPr="004D70F4">
        <w:t xml:space="preserve">are summarised in </w:t>
      </w:r>
      <w:r w:rsidRPr="004D70F4">
        <w:fldChar w:fldCharType="begin"/>
      </w:r>
      <w:r w:rsidRPr="004D70F4">
        <w:instrText xml:space="preserve"> REF _Ref104804865 \h </w:instrText>
      </w:r>
      <w:r w:rsidR="00A44391">
        <w:instrText xml:space="preserve"> \* MERGEFORMAT </w:instrText>
      </w:r>
      <w:r w:rsidRPr="004D70F4">
        <w:fldChar w:fldCharType="separate"/>
      </w:r>
      <w:r w:rsidR="00325DE1" w:rsidRPr="0066027B">
        <w:rPr>
          <w:noProof/>
        </w:rPr>
        <w:t>Table</w:t>
      </w:r>
      <w:r w:rsidR="00325DE1" w:rsidRPr="0066027B">
        <w:t xml:space="preserve"> </w:t>
      </w:r>
      <w:r w:rsidR="00325DE1">
        <w:rPr>
          <w:noProof/>
        </w:rPr>
        <w:t>13</w:t>
      </w:r>
      <w:r w:rsidRPr="004D70F4">
        <w:fldChar w:fldCharType="end"/>
      </w:r>
      <w:r>
        <w:t xml:space="preserve"> and </w:t>
      </w:r>
      <w:r>
        <w:fldChar w:fldCharType="begin"/>
      </w:r>
      <w:r>
        <w:instrText xml:space="preserve"> REF _Ref164728203 \h </w:instrText>
      </w:r>
      <w:r w:rsidR="00A44391">
        <w:instrText xml:space="preserve"> \* MERGEFORMAT </w:instrText>
      </w:r>
      <w:r>
        <w:fldChar w:fldCharType="separate"/>
      </w:r>
      <w:r w:rsidR="00325DE1" w:rsidRPr="00C811C0">
        <w:t xml:space="preserve">Table </w:t>
      </w:r>
      <w:r w:rsidR="00325DE1">
        <w:rPr>
          <w:noProof/>
        </w:rPr>
        <w:t>14</w:t>
      </w:r>
      <w:r>
        <w:fldChar w:fldCharType="end"/>
      </w:r>
      <w:r>
        <w:t>, respectively</w:t>
      </w:r>
      <w:r w:rsidRPr="004D70F4">
        <w:t>.</w:t>
      </w:r>
      <w:r>
        <w:t xml:space="preserve"> </w:t>
      </w:r>
      <w:bookmarkStart w:id="40" w:name="_Ref104804865"/>
      <w:r w:rsidR="00801332">
        <w:br w:type="page"/>
      </w:r>
    </w:p>
    <w:p w14:paraId="6B7989D3" w14:textId="7301D5A0" w:rsidR="00DE1BBD" w:rsidRPr="0066027B" w:rsidRDefault="00DE1BBD" w:rsidP="00DE1BBD">
      <w:pPr>
        <w:pStyle w:val="Caption"/>
        <w:rPr>
          <w:rStyle w:val="CommentReference"/>
          <w:b w:val="0"/>
          <w:sz w:val="20"/>
          <w:szCs w:val="20"/>
        </w:rPr>
      </w:pPr>
      <w:r w:rsidRPr="0066027B">
        <w:lastRenderedPageBreak/>
        <w:t xml:space="preserve">Table </w:t>
      </w:r>
      <w:r w:rsidR="008F6B43">
        <w:fldChar w:fldCharType="begin"/>
      </w:r>
      <w:r w:rsidR="008F6B43">
        <w:instrText xml:space="preserve"> SEQ Table \* ARABIC </w:instrText>
      </w:r>
      <w:r w:rsidR="008F6B43">
        <w:fldChar w:fldCharType="separate"/>
      </w:r>
      <w:r w:rsidR="00325DE1">
        <w:rPr>
          <w:noProof/>
        </w:rPr>
        <w:t>13</w:t>
      </w:r>
      <w:r w:rsidR="008F6B43">
        <w:rPr>
          <w:noProof/>
        </w:rPr>
        <w:fldChar w:fldCharType="end"/>
      </w:r>
      <w:bookmarkEnd w:id="40"/>
      <w:r w:rsidR="00452811">
        <w:rPr>
          <w:rStyle w:val="CommentReference"/>
          <w:sz w:val="20"/>
          <w:szCs w:val="20"/>
        </w:rPr>
        <w:tab/>
      </w:r>
      <w:r w:rsidRPr="0066027B">
        <w:rPr>
          <w:rStyle w:val="CommentReference"/>
          <w:sz w:val="20"/>
          <w:szCs w:val="20"/>
        </w:rPr>
        <w:t>Key sensitivity analyses in subgroup model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161"/>
        <w:gridCol w:w="1137"/>
        <w:gridCol w:w="1051"/>
        <w:gridCol w:w="1046"/>
      </w:tblGrid>
      <w:tr w:rsidR="00DE1BBD" w:rsidRPr="004D70F4" w14:paraId="31E6A3FC" w14:textId="77777777" w:rsidTr="11FAFD31">
        <w:trPr>
          <w:tblHeader/>
        </w:trPr>
        <w:tc>
          <w:tcPr>
            <w:tcW w:w="4783" w:type="dxa"/>
          </w:tcPr>
          <w:p w14:paraId="30A951F3" w14:textId="77777777" w:rsidR="00DE1BBD" w:rsidRPr="004D70F4" w:rsidRDefault="00DE1BBD" w:rsidP="00583870">
            <w:pPr>
              <w:pStyle w:val="In-tableHeading"/>
              <w:rPr>
                <w:lang w:val="en-AU"/>
              </w:rPr>
            </w:pPr>
            <w:r w:rsidRPr="004D70F4">
              <w:rPr>
                <w:lang w:val="en-AU"/>
              </w:rPr>
              <w:t>Analyses</w:t>
            </w:r>
          </w:p>
        </w:tc>
        <w:tc>
          <w:tcPr>
            <w:tcW w:w="1163" w:type="dxa"/>
            <w:vAlign w:val="center"/>
          </w:tcPr>
          <w:p w14:paraId="6AB99923" w14:textId="77777777" w:rsidR="00DE1BBD" w:rsidRPr="004D70F4" w:rsidRDefault="00DE1BBD" w:rsidP="00583870">
            <w:pPr>
              <w:pStyle w:val="In-tableHeading"/>
              <w:jc w:val="center"/>
              <w:rPr>
                <w:lang w:val="en-AU"/>
              </w:rPr>
            </w:pPr>
            <w:r w:rsidRPr="004D70F4">
              <w:rPr>
                <w:lang w:val="en-AU"/>
              </w:rPr>
              <w:t>Incremental cost</w:t>
            </w:r>
          </w:p>
        </w:tc>
        <w:tc>
          <w:tcPr>
            <w:tcW w:w="1137" w:type="dxa"/>
            <w:vAlign w:val="center"/>
          </w:tcPr>
          <w:p w14:paraId="6D34C6F4" w14:textId="77777777" w:rsidR="00DE1BBD" w:rsidRPr="004D70F4" w:rsidRDefault="00DE1BBD" w:rsidP="00583870">
            <w:pPr>
              <w:pStyle w:val="In-tableHeading"/>
              <w:jc w:val="center"/>
              <w:rPr>
                <w:lang w:val="en-AU"/>
              </w:rPr>
            </w:pPr>
            <w:r w:rsidRPr="004D70F4">
              <w:rPr>
                <w:lang w:val="en-AU"/>
              </w:rPr>
              <w:t>Incremental QALY</w:t>
            </w:r>
          </w:p>
        </w:tc>
        <w:tc>
          <w:tcPr>
            <w:tcW w:w="992" w:type="dxa"/>
            <w:vAlign w:val="center"/>
          </w:tcPr>
          <w:p w14:paraId="1CC1666B" w14:textId="77777777" w:rsidR="00DE1BBD" w:rsidRPr="004D70F4" w:rsidRDefault="00DE1BBD" w:rsidP="00583870">
            <w:pPr>
              <w:pStyle w:val="In-tableHeading"/>
              <w:jc w:val="center"/>
              <w:rPr>
                <w:lang w:val="en-AU"/>
              </w:rPr>
            </w:pPr>
            <w:r w:rsidRPr="004D70F4">
              <w:rPr>
                <w:lang w:val="en-AU"/>
              </w:rPr>
              <w:t>ICER</w:t>
            </w:r>
          </w:p>
        </w:tc>
        <w:tc>
          <w:tcPr>
            <w:tcW w:w="851" w:type="dxa"/>
            <w:vAlign w:val="center"/>
          </w:tcPr>
          <w:p w14:paraId="4282E060" w14:textId="77777777" w:rsidR="00DE1BBD" w:rsidRPr="004D70F4" w:rsidRDefault="00DE1BBD" w:rsidP="00583870">
            <w:pPr>
              <w:pStyle w:val="In-tableHeading"/>
              <w:jc w:val="center"/>
              <w:rPr>
                <w:i/>
                <w:iCs/>
                <w:lang w:val="en-AU"/>
              </w:rPr>
            </w:pPr>
            <w:r w:rsidRPr="004D70F4">
              <w:rPr>
                <w:i/>
                <w:iCs/>
                <w:lang w:val="en-AU"/>
              </w:rPr>
              <w:t>% Change</w:t>
            </w:r>
          </w:p>
        </w:tc>
      </w:tr>
      <w:tr w:rsidR="00DE1BBD" w:rsidRPr="004D70F4" w14:paraId="4C9CD519" w14:textId="77777777" w:rsidTr="11FAFD31">
        <w:tc>
          <w:tcPr>
            <w:tcW w:w="4783" w:type="dxa"/>
            <w:tcBorders>
              <w:bottom w:val="single" w:sz="4" w:space="0" w:color="auto"/>
            </w:tcBorders>
          </w:tcPr>
          <w:p w14:paraId="782DBD9B" w14:textId="77777777" w:rsidR="00DE1BBD" w:rsidRPr="004D70F4" w:rsidRDefault="00DE1BBD" w:rsidP="00583870">
            <w:pPr>
              <w:pStyle w:val="TableText"/>
              <w:rPr>
                <w:b/>
              </w:rPr>
            </w:pPr>
            <w:r w:rsidRPr="004D70F4">
              <w:rPr>
                <w:b/>
              </w:rPr>
              <w:t>Base case</w:t>
            </w:r>
          </w:p>
        </w:tc>
        <w:tc>
          <w:tcPr>
            <w:tcW w:w="1163" w:type="dxa"/>
            <w:tcBorders>
              <w:bottom w:val="single" w:sz="4" w:space="0" w:color="auto"/>
            </w:tcBorders>
            <w:vAlign w:val="center"/>
          </w:tcPr>
          <w:p w14:paraId="0DCFD2F5" w14:textId="75035959" w:rsidR="00DE1BBD" w:rsidRPr="004D70F4" w:rsidRDefault="00DE1BBD" w:rsidP="00583870">
            <w:pPr>
              <w:pStyle w:val="TableText"/>
              <w:jc w:val="center"/>
              <w:rPr>
                <w:b/>
              </w:rPr>
            </w:pPr>
            <w:r w:rsidRPr="004D70F4">
              <w:rPr>
                <w:b/>
              </w:rPr>
              <w:t>$</w:t>
            </w:r>
            <w:r w:rsidR="0090680E" w:rsidRPr="0090680E">
              <w:rPr>
                <w:b/>
                <w:bCs/>
              </w:rPr>
              <w:t>redacted</w:t>
            </w:r>
          </w:p>
        </w:tc>
        <w:tc>
          <w:tcPr>
            <w:tcW w:w="1137" w:type="dxa"/>
            <w:tcBorders>
              <w:bottom w:val="single" w:sz="4" w:space="0" w:color="auto"/>
            </w:tcBorders>
            <w:vAlign w:val="center"/>
          </w:tcPr>
          <w:p w14:paraId="78DCA6D7" w14:textId="77777777" w:rsidR="00DE1BBD" w:rsidRPr="004D70F4" w:rsidRDefault="00DE1BBD" w:rsidP="00583870">
            <w:pPr>
              <w:pStyle w:val="TableText"/>
              <w:jc w:val="center"/>
              <w:rPr>
                <w:b/>
              </w:rPr>
            </w:pPr>
            <w:r w:rsidRPr="004D70F4">
              <w:rPr>
                <w:b/>
              </w:rPr>
              <w:t>0.880</w:t>
            </w:r>
          </w:p>
        </w:tc>
        <w:tc>
          <w:tcPr>
            <w:tcW w:w="992" w:type="dxa"/>
            <w:tcBorders>
              <w:bottom w:val="single" w:sz="4" w:space="0" w:color="auto"/>
            </w:tcBorders>
            <w:vAlign w:val="center"/>
          </w:tcPr>
          <w:p w14:paraId="43F97BE5" w14:textId="1C87A71E" w:rsidR="00DE1BBD" w:rsidRPr="004D70F4" w:rsidRDefault="00326EC9" w:rsidP="00583870">
            <w:pPr>
              <w:pStyle w:val="TableText"/>
              <w:jc w:val="center"/>
              <w:rPr>
                <w:b/>
              </w:rPr>
            </w:pPr>
            <w:r w:rsidRPr="0090680E">
              <w:t>$</w:t>
            </w:r>
            <w:r w:rsidR="0090680E" w:rsidRPr="0090680E">
              <w:rPr>
                <w:b/>
                <w:bCs/>
              </w:rPr>
              <w:t>redacted</w:t>
            </w:r>
            <w:r w:rsidR="007E0C2F" w:rsidRPr="0090680E">
              <w:rPr>
                <w:vertAlign w:val="superscript"/>
              </w:rPr>
              <w:t>2</w:t>
            </w:r>
          </w:p>
        </w:tc>
        <w:tc>
          <w:tcPr>
            <w:tcW w:w="851" w:type="dxa"/>
            <w:tcBorders>
              <w:bottom w:val="single" w:sz="4" w:space="0" w:color="auto"/>
            </w:tcBorders>
            <w:vAlign w:val="center"/>
          </w:tcPr>
          <w:p w14:paraId="5512C859" w14:textId="77777777" w:rsidR="00DE1BBD" w:rsidRPr="004D70F4" w:rsidRDefault="00DE1BBD" w:rsidP="00583870">
            <w:pPr>
              <w:pStyle w:val="TableText"/>
              <w:jc w:val="center"/>
              <w:rPr>
                <w:b/>
                <w:bCs/>
                <w:i/>
                <w:iCs/>
              </w:rPr>
            </w:pPr>
          </w:p>
        </w:tc>
      </w:tr>
      <w:tr w:rsidR="00DE1BBD" w:rsidRPr="004D70F4" w14:paraId="3F511E49" w14:textId="77777777" w:rsidTr="11FAFD31">
        <w:tc>
          <w:tcPr>
            <w:tcW w:w="4783" w:type="dxa"/>
            <w:tcBorders>
              <w:right w:val="nil"/>
            </w:tcBorders>
          </w:tcPr>
          <w:p w14:paraId="37A806F6" w14:textId="77777777" w:rsidR="00DE1BBD" w:rsidRPr="004D70F4" w:rsidRDefault="00DE1BBD" w:rsidP="00583870">
            <w:pPr>
              <w:pStyle w:val="TableText"/>
            </w:pPr>
            <w:r w:rsidRPr="004D70F4">
              <w:t>Discounting rate (5% in BC)</w:t>
            </w:r>
          </w:p>
        </w:tc>
        <w:tc>
          <w:tcPr>
            <w:tcW w:w="1163" w:type="dxa"/>
            <w:tcBorders>
              <w:left w:val="nil"/>
              <w:right w:val="nil"/>
            </w:tcBorders>
            <w:vAlign w:val="center"/>
          </w:tcPr>
          <w:p w14:paraId="441FCDE7" w14:textId="77777777" w:rsidR="00DE1BBD" w:rsidRPr="004D70F4" w:rsidRDefault="00DE1BBD" w:rsidP="00583870">
            <w:pPr>
              <w:pStyle w:val="TableText"/>
              <w:jc w:val="center"/>
              <w:rPr>
                <w:i/>
                <w:iCs/>
              </w:rPr>
            </w:pPr>
          </w:p>
        </w:tc>
        <w:tc>
          <w:tcPr>
            <w:tcW w:w="1137" w:type="dxa"/>
            <w:tcBorders>
              <w:left w:val="nil"/>
              <w:right w:val="nil"/>
            </w:tcBorders>
            <w:vAlign w:val="center"/>
          </w:tcPr>
          <w:p w14:paraId="132AFC26" w14:textId="77777777" w:rsidR="00DE1BBD" w:rsidRPr="004D70F4" w:rsidRDefault="00DE1BBD" w:rsidP="00583870">
            <w:pPr>
              <w:pStyle w:val="TableText"/>
              <w:jc w:val="center"/>
              <w:rPr>
                <w:i/>
                <w:iCs/>
              </w:rPr>
            </w:pPr>
          </w:p>
        </w:tc>
        <w:tc>
          <w:tcPr>
            <w:tcW w:w="992" w:type="dxa"/>
            <w:tcBorders>
              <w:left w:val="nil"/>
              <w:right w:val="nil"/>
            </w:tcBorders>
            <w:vAlign w:val="center"/>
          </w:tcPr>
          <w:p w14:paraId="7318007D" w14:textId="77777777" w:rsidR="00DE1BBD" w:rsidRPr="004D70F4" w:rsidRDefault="00DE1BBD" w:rsidP="00583870">
            <w:pPr>
              <w:pStyle w:val="TableText"/>
              <w:jc w:val="center"/>
            </w:pPr>
          </w:p>
        </w:tc>
        <w:tc>
          <w:tcPr>
            <w:tcW w:w="851" w:type="dxa"/>
            <w:tcBorders>
              <w:left w:val="nil"/>
            </w:tcBorders>
            <w:vAlign w:val="center"/>
          </w:tcPr>
          <w:p w14:paraId="7AD7AE92" w14:textId="77777777" w:rsidR="00DE1BBD" w:rsidRPr="004D70F4" w:rsidRDefault="00DE1BBD" w:rsidP="00583870">
            <w:pPr>
              <w:pStyle w:val="TableText"/>
              <w:jc w:val="center"/>
              <w:rPr>
                <w:i/>
                <w:iCs/>
              </w:rPr>
            </w:pPr>
          </w:p>
        </w:tc>
      </w:tr>
      <w:tr w:rsidR="00DE1BBD" w:rsidRPr="004D70F4" w14:paraId="2121E89E" w14:textId="77777777" w:rsidTr="00DA1851">
        <w:trPr>
          <w:trHeight w:val="375"/>
        </w:trPr>
        <w:tc>
          <w:tcPr>
            <w:tcW w:w="4783" w:type="dxa"/>
            <w:tcBorders>
              <w:bottom w:val="single" w:sz="4" w:space="0" w:color="auto"/>
            </w:tcBorders>
          </w:tcPr>
          <w:p w14:paraId="2603AB1E" w14:textId="77777777" w:rsidR="00DE1BBD" w:rsidRPr="004D70F4" w:rsidRDefault="00DE1BBD" w:rsidP="00583870">
            <w:pPr>
              <w:pStyle w:val="TableText"/>
            </w:pPr>
            <w:r w:rsidRPr="004D70F4">
              <w:t>0%</w:t>
            </w:r>
          </w:p>
        </w:tc>
        <w:tc>
          <w:tcPr>
            <w:tcW w:w="1163" w:type="dxa"/>
            <w:tcBorders>
              <w:bottom w:val="single" w:sz="4" w:space="0" w:color="auto"/>
            </w:tcBorders>
            <w:vAlign w:val="center"/>
          </w:tcPr>
          <w:p w14:paraId="75C85425" w14:textId="1B22E013" w:rsidR="00DE1BBD" w:rsidRPr="004D70F4" w:rsidRDefault="00DE1BBD" w:rsidP="00583870">
            <w:pPr>
              <w:pStyle w:val="TableText"/>
              <w:jc w:val="center"/>
              <w:rPr>
                <w:i/>
                <w:iCs/>
              </w:rPr>
            </w:pPr>
            <w:r w:rsidRPr="004D70F4">
              <w:rPr>
                <w:i/>
                <w:iCs/>
              </w:rPr>
              <w:t>$</w:t>
            </w:r>
            <w:r w:rsidR="0090680E" w:rsidRPr="0090680E">
              <w:rPr>
                <w:b/>
                <w:bCs/>
              </w:rPr>
              <w:t>redacted</w:t>
            </w:r>
          </w:p>
        </w:tc>
        <w:tc>
          <w:tcPr>
            <w:tcW w:w="1137" w:type="dxa"/>
            <w:tcBorders>
              <w:bottom w:val="single" w:sz="4" w:space="0" w:color="auto"/>
            </w:tcBorders>
            <w:vAlign w:val="center"/>
          </w:tcPr>
          <w:p w14:paraId="2150FCC4" w14:textId="77777777" w:rsidR="00DE1BBD" w:rsidRPr="004D70F4" w:rsidRDefault="00DE1BBD" w:rsidP="00583870">
            <w:pPr>
              <w:pStyle w:val="TableText"/>
              <w:jc w:val="center"/>
              <w:rPr>
                <w:i/>
                <w:iCs/>
              </w:rPr>
            </w:pPr>
            <w:r w:rsidRPr="004D70F4">
              <w:rPr>
                <w:i/>
                <w:iCs/>
              </w:rPr>
              <w:t>1.025</w:t>
            </w:r>
          </w:p>
        </w:tc>
        <w:tc>
          <w:tcPr>
            <w:tcW w:w="992" w:type="dxa"/>
            <w:tcBorders>
              <w:bottom w:val="single" w:sz="4" w:space="0" w:color="auto"/>
            </w:tcBorders>
            <w:vAlign w:val="center"/>
          </w:tcPr>
          <w:p w14:paraId="3AFD9F47" w14:textId="23FAF8E5" w:rsidR="00DE1BBD" w:rsidRPr="004D70F4" w:rsidRDefault="00DE1BBD" w:rsidP="00583870">
            <w:pPr>
              <w:pStyle w:val="TableText"/>
              <w:jc w:val="center"/>
            </w:pPr>
            <w:r w:rsidRPr="004D70F4">
              <w:t>$</w:t>
            </w:r>
            <w:r w:rsidR="0090680E" w:rsidRPr="0090680E">
              <w:rPr>
                <w:b/>
                <w:bCs/>
              </w:rPr>
              <w:t>redacted</w:t>
            </w:r>
            <w:r w:rsidR="007E0C2F" w:rsidRPr="0090680E">
              <w:rPr>
                <w:vertAlign w:val="superscript"/>
              </w:rPr>
              <w:t>2</w:t>
            </w:r>
          </w:p>
        </w:tc>
        <w:tc>
          <w:tcPr>
            <w:tcW w:w="851" w:type="dxa"/>
            <w:tcBorders>
              <w:bottom w:val="single" w:sz="4" w:space="0" w:color="auto"/>
            </w:tcBorders>
            <w:vAlign w:val="center"/>
          </w:tcPr>
          <w:p w14:paraId="2ED449D9" w14:textId="6E2B214F"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04D38E3E" w14:textId="77777777" w:rsidTr="11FAFD31">
        <w:tc>
          <w:tcPr>
            <w:tcW w:w="4783" w:type="dxa"/>
            <w:tcBorders>
              <w:right w:val="nil"/>
            </w:tcBorders>
          </w:tcPr>
          <w:p w14:paraId="2CE5C69F" w14:textId="77777777" w:rsidR="00DE1BBD" w:rsidRPr="004D70F4" w:rsidRDefault="00DE1BBD" w:rsidP="00583870">
            <w:pPr>
              <w:pStyle w:val="TableText"/>
            </w:pPr>
            <w:r w:rsidRPr="004D70F4">
              <w:t>Time horizon (10 years in BC)</w:t>
            </w:r>
          </w:p>
        </w:tc>
        <w:tc>
          <w:tcPr>
            <w:tcW w:w="1163" w:type="dxa"/>
            <w:tcBorders>
              <w:left w:val="nil"/>
              <w:right w:val="nil"/>
            </w:tcBorders>
            <w:vAlign w:val="center"/>
          </w:tcPr>
          <w:p w14:paraId="060197B5" w14:textId="77777777" w:rsidR="00DE1BBD" w:rsidRPr="004D70F4" w:rsidRDefault="00DE1BBD" w:rsidP="00583870">
            <w:pPr>
              <w:pStyle w:val="TableText"/>
              <w:jc w:val="center"/>
              <w:rPr>
                <w:i/>
                <w:iCs/>
              </w:rPr>
            </w:pPr>
          </w:p>
        </w:tc>
        <w:tc>
          <w:tcPr>
            <w:tcW w:w="1137" w:type="dxa"/>
            <w:tcBorders>
              <w:left w:val="nil"/>
              <w:right w:val="nil"/>
            </w:tcBorders>
            <w:vAlign w:val="center"/>
          </w:tcPr>
          <w:p w14:paraId="0625BB59" w14:textId="77777777" w:rsidR="00DE1BBD" w:rsidRPr="004D70F4" w:rsidRDefault="00DE1BBD" w:rsidP="00583870">
            <w:pPr>
              <w:pStyle w:val="TableText"/>
              <w:jc w:val="center"/>
              <w:rPr>
                <w:i/>
                <w:iCs/>
              </w:rPr>
            </w:pPr>
          </w:p>
        </w:tc>
        <w:tc>
          <w:tcPr>
            <w:tcW w:w="992" w:type="dxa"/>
            <w:tcBorders>
              <w:left w:val="nil"/>
              <w:right w:val="nil"/>
            </w:tcBorders>
            <w:vAlign w:val="center"/>
          </w:tcPr>
          <w:p w14:paraId="7090E879" w14:textId="77777777" w:rsidR="00DE1BBD" w:rsidRPr="004D70F4" w:rsidRDefault="00DE1BBD" w:rsidP="00583870">
            <w:pPr>
              <w:pStyle w:val="TableText"/>
              <w:jc w:val="center"/>
              <w:rPr>
                <w:szCs w:val="20"/>
              </w:rPr>
            </w:pPr>
          </w:p>
        </w:tc>
        <w:tc>
          <w:tcPr>
            <w:tcW w:w="851" w:type="dxa"/>
            <w:tcBorders>
              <w:left w:val="nil"/>
            </w:tcBorders>
            <w:vAlign w:val="center"/>
          </w:tcPr>
          <w:p w14:paraId="02334B11" w14:textId="77777777" w:rsidR="00DE1BBD" w:rsidRPr="0090680E" w:rsidRDefault="00DE1BBD" w:rsidP="11FAFD31">
            <w:pPr>
              <w:pStyle w:val="TableText"/>
              <w:jc w:val="center"/>
              <w:rPr>
                <w:i/>
                <w:iCs/>
              </w:rPr>
            </w:pPr>
          </w:p>
        </w:tc>
      </w:tr>
      <w:tr w:rsidR="00DE1BBD" w:rsidRPr="004D70F4" w14:paraId="66DB2076" w14:textId="77777777" w:rsidTr="0090680E">
        <w:tc>
          <w:tcPr>
            <w:tcW w:w="4783" w:type="dxa"/>
          </w:tcPr>
          <w:p w14:paraId="43048371" w14:textId="77777777" w:rsidR="00DE1BBD" w:rsidRPr="004D70F4" w:rsidRDefault="00DE1BBD" w:rsidP="00583870">
            <w:pPr>
              <w:pStyle w:val="TableText"/>
            </w:pPr>
            <w:r w:rsidRPr="004D70F4">
              <w:t>15 years</w:t>
            </w:r>
          </w:p>
        </w:tc>
        <w:tc>
          <w:tcPr>
            <w:tcW w:w="1163" w:type="dxa"/>
            <w:shd w:val="clear" w:color="auto" w:fill="auto"/>
            <w:vAlign w:val="center"/>
          </w:tcPr>
          <w:p w14:paraId="1F336941" w14:textId="07A9D5C7" w:rsidR="00DE1BBD" w:rsidRPr="004D70F4" w:rsidRDefault="00DE1BBD" w:rsidP="00583870">
            <w:pPr>
              <w:pStyle w:val="TableText"/>
              <w:jc w:val="center"/>
              <w:rPr>
                <w:i/>
                <w:iCs/>
              </w:rPr>
            </w:pPr>
            <w:r w:rsidRPr="004D70F4">
              <w:rPr>
                <w:i/>
                <w:iCs/>
              </w:rPr>
              <w:t>$</w:t>
            </w:r>
            <w:r w:rsidR="0090680E" w:rsidRPr="0090680E">
              <w:rPr>
                <w:b/>
                <w:bCs/>
              </w:rPr>
              <w:t>redacted</w:t>
            </w:r>
          </w:p>
        </w:tc>
        <w:tc>
          <w:tcPr>
            <w:tcW w:w="1137" w:type="dxa"/>
            <w:vAlign w:val="center"/>
          </w:tcPr>
          <w:p w14:paraId="1259A155" w14:textId="77777777" w:rsidR="00DE1BBD" w:rsidRPr="004D70F4" w:rsidRDefault="00DE1BBD" w:rsidP="00583870">
            <w:pPr>
              <w:pStyle w:val="TableText"/>
              <w:jc w:val="center"/>
              <w:rPr>
                <w:i/>
                <w:iCs/>
              </w:rPr>
            </w:pPr>
            <w:r w:rsidRPr="004D70F4">
              <w:rPr>
                <w:i/>
                <w:iCs/>
              </w:rPr>
              <w:t>0.933</w:t>
            </w:r>
          </w:p>
        </w:tc>
        <w:tc>
          <w:tcPr>
            <w:tcW w:w="992" w:type="dxa"/>
            <w:vAlign w:val="center"/>
          </w:tcPr>
          <w:p w14:paraId="138EEEA2" w14:textId="197AF35C" w:rsidR="00DE1BBD" w:rsidRPr="004D70F4" w:rsidRDefault="00DE1BBD" w:rsidP="00583870">
            <w:pPr>
              <w:pStyle w:val="TableText"/>
              <w:jc w:val="center"/>
            </w:pPr>
            <w:r w:rsidRPr="004D70F4">
              <w:rPr>
                <w:szCs w:val="20"/>
              </w:rPr>
              <w:t>$</w:t>
            </w:r>
            <w:r w:rsidR="0090680E" w:rsidRPr="0090680E">
              <w:rPr>
                <w:b/>
                <w:bCs/>
              </w:rPr>
              <w:t>redacted</w:t>
            </w:r>
            <w:r w:rsidR="006637B0" w:rsidRPr="0090680E">
              <w:rPr>
                <w:vertAlign w:val="superscript"/>
              </w:rPr>
              <w:t>1</w:t>
            </w:r>
          </w:p>
        </w:tc>
        <w:tc>
          <w:tcPr>
            <w:tcW w:w="851" w:type="dxa"/>
            <w:shd w:val="clear" w:color="auto" w:fill="auto"/>
            <w:vAlign w:val="center"/>
          </w:tcPr>
          <w:p w14:paraId="6D656B88" w14:textId="1CD6CF84"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69477F1B" w14:textId="77777777" w:rsidTr="0090680E">
        <w:tc>
          <w:tcPr>
            <w:tcW w:w="4783" w:type="dxa"/>
          </w:tcPr>
          <w:p w14:paraId="7F7949D2" w14:textId="77777777" w:rsidR="00DE1BBD" w:rsidRPr="004D70F4" w:rsidRDefault="00DE1BBD" w:rsidP="00583870">
            <w:pPr>
              <w:pStyle w:val="TableText"/>
              <w:rPr>
                <w:i/>
                <w:iCs/>
              </w:rPr>
            </w:pPr>
            <w:r w:rsidRPr="004D70F4">
              <w:rPr>
                <w:i/>
                <w:iCs/>
              </w:rPr>
              <w:t>7 years</w:t>
            </w:r>
          </w:p>
        </w:tc>
        <w:tc>
          <w:tcPr>
            <w:tcW w:w="1163" w:type="dxa"/>
            <w:shd w:val="clear" w:color="auto" w:fill="auto"/>
            <w:vAlign w:val="center"/>
          </w:tcPr>
          <w:p w14:paraId="6B120043" w14:textId="77E3AC2E" w:rsidR="00DE1BBD" w:rsidRPr="007E0C2F" w:rsidRDefault="00DE1BBD" w:rsidP="00583870">
            <w:pPr>
              <w:pStyle w:val="TableText"/>
              <w:jc w:val="center"/>
              <w:rPr>
                <w:i/>
                <w:iCs/>
              </w:rPr>
            </w:pPr>
            <w:r w:rsidRPr="007E0C2F">
              <w:rPr>
                <w:i/>
                <w:iCs/>
              </w:rPr>
              <w:t>$</w:t>
            </w:r>
            <w:r w:rsidR="0090680E" w:rsidRPr="0090680E">
              <w:rPr>
                <w:b/>
                <w:bCs/>
                <w:i/>
                <w:iCs/>
              </w:rPr>
              <w:t>redacted</w:t>
            </w:r>
          </w:p>
        </w:tc>
        <w:tc>
          <w:tcPr>
            <w:tcW w:w="1137" w:type="dxa"/>
            <w:vAlign w:val="center"/>
          </w:tcPr>
          <w:p w14:paraId="2CA0F7A9" w14:textId="77777777" w:rsidR="00DE1BBD" w:rsidRPr="007E0C2F" w:rsidRDefault="00DE1BBD" w:rsidP="00583870">
            <w:pPr>
              <w:pStyle w:val="TableText"/>
              <w:jc w:val="center"/>
              <w:rPr>
                <w:i/>
                <w:iCs/>
              </w:rPr>
            </w:pPr>
            <w:r w:rsidRPr="007E0C2F">
              <w:rPr>
                <w:i/>
                <w:iCs/>
              </w:rPr>
              <w:t>0.791</w:t>
            </w:r>
          </w:p>
        </w:tc>
        <w:tc>
          <w:tcPr>
            <w:tcW w:w="992" w:type="dxa"/>
            <w:vAlign w:val="center"/>
          </w:tcPr>
          <w:p w14:paraId="3649E8D5" w14:textId="74514782" w:rsidR="00DE1BBD" w:rsidRPr="007E0C2F" w:rsidRDefault="00DE1BBD" w:rsidP="00583870">
            <w:pPr>
              <w:pStyle w:val="TableText"/>
              <w:jc w:val="center"/>
              <w:rPr>
                <w:i/>
                <w:iCs/>
                <w:szCs w:val="20"/>
              </w:rPr>
            </w:pPr>
            <w:r w:rsidRPr="007E0C2F">
              <w:rPr>
                <w:i/>
                <w:iCs/>
                <w:szCs w:val="20"/>
              </w:rPr>
              <w:t>$</w:t>
            </w:r>
            <w:r w:rsidR="0090680E" w:rsidRPr="0090680E">
              <w:rPr>
                <w:b/>
                <w:bCs/>
                <w:i/>
                <w:iCs/>
              </w:rPr>
              <w:t>redacted</w:t>
            </w:r>
            <w:r w:rsidR="006637B0" w:rsidRPr="0090680E">
              <w:rPr>
                <w:i/>
                <w:iCs/>
                <w:vertAlign w:val="superscript"/>
              </w:rPr>
              <w:t>2</w:t>
            </w:r>
          </w:p>
        </w:tc>
        <w:tc>
          <w:tcPr>
            <w:tcW w:w="851" w:type="dxa"/>
            <w:vAlign w:val="center"/>
          </w:tcPr>
          <w:p w14:paraId="4C76166F" w14:textId="6D314E85"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3587F0BF" w14:textId="77777777" w:rsidTr="0090680E">
        <w:tc>
          <w:tcPr>
            <w:tcW w:w="4783" w:type="dxa"/>
            <w:tcBorders>
              <w:bottom w:val="single" w:sz="4" w:space="0" w:color="auto"/>
            </w:tcBorders>
          </w:tcPr>
          <w:p w14:paraId="76E42664" w14:textId="77777777" w:rsidR="00DE1BBD" w:rsidRPr="004D70F4" w:rsidRDefault="00DE1BBD" w:rsidP="00583870">
            <w:pPr>
              <w:pStyle w:val="TableText"/>
              <w:rPr>
                <w:i/>
                <w:iCs/>
              </w:rPr>
            </w:pPr>
            <w:r w:rsidRPr="004D70F4">
              <w:rPr>
                <w:i/>
                <w:iCs/>
              </w:rPr>
              <w:t>5 years</w:t>
            </w:r>
          </w:p>
        </w:tc>
        <w:tc>
          <w:tcPr>
            <w:tcW w:w="1163" w:type="dxa"/>
            <w:tcBorders>
              <w:bottom w:val="single" w:sz="4" w:space="0" w:color="auto"/>
            </w:tcBorders>
            <w:shd w:val="clear" w:color="auto" w:fill="auto"/>
            <w:vAlign w:val="center"/>
          </w:tcPr>
          <w:p w14:paraId="29A1C6A3" w14:textId="179E2DBE" w:rsidR="00DE1BBD" w:rsidRPr="007E0C2F" w:rsidRDefault="00DE1BBD" w:rsidP="00583870">
            <w:pPr>
              <w:pStyle w:val="TableText"/>
              <w:jc w:val="center"/>
              <w:rPr>
                <w:i/>
                <w:iCs/>
              </w:rPr>
            </w:pPr>
            <w:r w:rsidRPr="007E0C2F">
              <w:rPr>
                <w:i/>
                <w:iCs/>
              </w:rPr>
              <w:t>$</w:t>
            </w:r>
            <w:r w:rsidR="0090680E" w:rsidRPr="0090680E">
              <w:rPr>
                <w:b/>
                <w:bCs/>
                <w:i/>
                <w:iCs/>
              </w:rPr>
              <w:t>redacted</w:t>
            </w:r>
          </w:p>
        </w:tc>
        <w:tc>
          <w:tcPr>
            <w:tcW w:w="1137" w:type="dxa"/>
            <w:tcBorders>
              <w:bottom w:val="single" w:sz="4" w:space="0" w:color="auto"/>
            </w:tcBorders>
            <w:vAlign w:val="center"/>
          </w:tcPr>
          <w:p w14:paraId="3E4E1BE1" w14:textId="77777777" w:rsidR="00DE1BBD" w:rsidRPr="007E0C2F" w:rsidRDefault="00DE1BBD" w:rsidP="00583870">
            <w:pPr>
              <w:pStyle w:val="TableText"/>
              <w:jc w:val="center"/>
              <w:rPr>
                <w:i/>
                <w:iCs/>
              </w:rPr>
            </w:pPr>
            <w:r w:rsidRPr="007E0C2F">
              <w:rPr>
                <w:i/>
                <w:iCs/>
              </w:rPr>
              <w:t>0.670</w:t>
            </w:r>
          </w:p>
        </w:tc>
        <w:tc>
          <w:tcPr>
            <w:tcW w:w="992" w:type="dxa"/>
            <w:tcBorders>
              <w:bottom w:val="single" w:sz="4" w:space="0" w:color="auto"/>
            </w:tcBorders>
            <w:vAlign w:val="center"/>
          </w:tcPr>
          <w:p w14:paraId="55905736" w14:textId="1D9A7D57" w:rsidR="00DE1BBD" w:rsidRPr="007E0C2F" w:rsidRDefault="00DE1BBD" w:rsidP="00583870">
            <w:pPr>
              <w:pStyle w:val="TableText"/>
              <w:jc w:val="center"/>
              <w:rPr>
                <w:i/>
                <w:iCs/>
                <w:szCs w:val="20"/>
              </w:rPr>
            </w:pPr>
            <w:r w:rsidRPr="007E0C2F">
              <w:rPr>
                <w:i/>
                <w:iCs/>
                <w:szCs w:val="20"/>
              </w:rPr>
              <w:t>$</w:t>
            </w:r>
            <w:r w:rsidR="0090680E" w:rsidRPr="0090680E">
              <w:rPr>
                <w:b/>
                <w:bCs/>
                <w:i/>
                <w:iCs/>
              </w:rPr>
              <w:t>redacted</w:t>
            </w:r>
            <w:r w:rsidR="006637B0" w:rsidRPr="0090680E">
              <w:rPr>
                <w:i/>
                <w:iCs/>
                <w:vertAlign w:val="superscript"/>
              </w:rPr>
              <w:t>2</w:t>
            </w:r>
          </w:p>
        </w:tc>
        <w:tc>
          <w:tcPr>
            <w:tcW w:w="851" w:type="dxa"/>
            <w:tcBorders>
              <w:bottom w:val="single" w:sz="4" w:space="0" w:color="auto"/>
            </w:tcBorders>
            <w:vAlign w:val="center"/>
          </w:tcPr>
          <w:p w14:paraId="1D6E8F9B" w14:textId="4AC740D5"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296C2CC7" w14:textId="77777777" w:rsidTr="11FAFD31">
        <w:tc>
          <w:tcPr>
            <w:tcW w:w="4783" w:type="dxa"/>
            <w:tcBorders>
              <w:right w:val="nil"/>
            </w:tcBorders>
          </w:tcPr>
          <w:p w14:paraId="3B2B9525" w14:textId="77777777" w:rsidR="00DE1BBD" w:rsidRPr="004D70F4" w:rsidRDefault="00DE1BBD" w:rsidP="00583870">
            <w:pPr>
              <w:pStyle w:val="TableText"/>
            </w:pPr>
            <w:r w:rsidRPr="004D70F4">
              <w:t>PFS2 extrapolation both arms (lognormal in BC</w:t>
            </w:r>
          </w:p>
        </w:tc>
        <w:tc>
          <w:tcPr>
            <w:tcW w:w="1163" w:type="dxa"/>
            <w:tcBorders>
              <w:left w:val="nil"/>
              <w:right w:val="nil"/>
            </w:tcBorders>
            <w:vAlign w:val="center"/>
          </w:tcPr>
          <w:p w14:paraId="12058A68" w14:textId="77777777" w:rsidR="00DE1BBD" w:rsidRPr="004D70F4" w:rsidRDefault="00DE1BBD" w:rsidP="00583870">
            <w:pPr>
              <w:pStyle w:val="TableText"/>
              <w:jc w:val="center"/>
              <w:rPr>
                <w:i/>
                <w:iCs/>
              </w:rPr>
            </w:pPr>
          </w:p>
        </w:tc>
        <w:tc>
          <w:tcPr>
            <w:tcW w:w="1137" w:type="dxa"/>
            <w:tcBorders>
              <w:left w:val="nil"/>
              <w:right w:val="nil"/>
            </w:tcBorders>
            <w:vAlign w:val="center"/>
          </w:tcPr>
          <w:p w14:paraId="799B62B6" w14:textId="77777777" w:rsidR="00DE1BBD" w:rsidRPr="004D70F4" w:rsidRDefault="00DE1BBD" w:rsidP="00583870">
            <w:pPr>
              <w:pStyle w:val="TableText"/>
              <w:jc w:val="center"/>
              <w:rPr>
                <w:i/>
                <w:iCs/>
              </w:rPr>
            </w:pPr>
          </w:p>
        </w:tc>
        <w:tc>
          <w:tcPr>
            <w:tcW w:w="992" w:type="dxa"/>
            <w:tcBorders>
              <w:left w:val="nil"/>
              <w:right w:val="nil"/>
            </w:tcBorders>
            <w:vAlign w:val="center"/>
          </w:tcPr>
          <w:p w14:paraId="5926E364" w14:textId="77777777" w:rsidR="00DE1BBD" w:rsidRPr="004D70F4" w:rsidRDefault="00DE1BBD" w:rsidP="00583870">
            <w:pPr>
              <w:pStyle w:val="TableText"/>
              <w:jc w:val="center"/>
              <w:rPr>
                <w:szCs w:val="20"/>
              </w:rPr>
            </w:pPr>
          </w:p>
        </w:tc>
        <w:tc>
          <w:tcPr>
            <w:tcW w:w="851" w:type="dxa"/>
            <w:tcBorders>
              <w:left w:val="nil"/>
            </w:tcBorders>
            <w:vAlign w:val="center"/>
          </w:tcPr>
          <w:p w14:paraId="43EE5629" w14:textId="77777777" w:rsidR="00DE1BBD" w:rsidRPr="0090680E" w:rsidRDefault="00DE1BBD" w:rsidP="11FAFD31">
            <w:pPr>
              <w:pStyle w:val="TableText"/>
              <w:jc w:val="center"/>
              <w:rPr>
                <w:i/>
                <w:iCs/>
              </w:rPr>
            </w:pPr>
          </w:p>
        </w:tc>
      </w:tr>
      <w:tr w:rsidR="00DE1BBD" w:rsidRPr="004D70F4" w14:paraId="204DBCE1" w14:textId="77777777" w:rsidTr="11FAFD31">
        <w:tc>
          <w:tcPr>
            <w:tcW w:w="4783" w:type="dxa"/>
          </w:tcPr>
          <w:p w14:paraId="35FE8584" w14:textId="77777777" w:rsidR="00DE1BBD" w:rsidRPr="004D70F4" w:rsidRDefault="00DE1BBD" w:rsidP="00583870">
            <w:pPr>
              <w:pStyle w:val="TableText"/>
            </w:pPr>
            <w:r w:rsidRPr="004D70F4">
              <w:t>Weibull used to extrapolate PFS2</w:t>
            </w:r>
          </w:p>
        </w:tc>
        <w:tc>
          <w:tcPr>
            <w:tcW w:w="1163" w:type="dxa"/>
            <w:vAlign w:val="center"/>
          </w:tcPr>
          <w:p w14:paraId="0054EDC7" w14:textId="590EF721" w:rsidR="00DE1BBD" w:rsidRPr="004D70F4" w:rsidRDefault="00DE1BBD" w:rsidP="00583870">
            <w:pPr>
              <w:pStyle w:val="TableText"/>
              <w:jc w:val="center"/>
              <w:rPr>
                <w:i/>
                <w:iCs/>
              </w:rPr>
            </w:pPr>
            <w:r w:rsidRPr="004D70F4">
              <w:rPr>
                <w:i/>
                <w:iCs/>
              </w:rPr>
              <w:t>$</w:t>
            </w:r>
            <w:r w:rsidR="0090680E" w:rsidRPr="0090680E">
              <w:rPr>
                <w:b/>
                <w:bCs/>
              </w:rPr>
              <w:t>redacted</w:t>
            </w:r>
          </w:p>
        </w:tc>
        <w:tc>
          <w:tcPr>
            <w:tcW w:w="1137" w:type="dxa"/>
            <w:vAlign w:val="center"/>
          </w:tcPr>
          <w:p w14:paraId="55329015" w14:textId="77777777" w:rsidR="00DE1BBD" w:rsidRPr="004D70F4" w:rsidRDefault="00DE1BBD" w:rsidP="00583870">
            <w:pPr>
              <w:pStyle w:val="TableText"/>
              <w:jc w:val="center"/>
              <w:rPr>
                <w:i/>
                <w:iCs/>
              </w:rPr>
            </w:pPr>
            <w:r w:rsidRPr="004D70F4">
              <w:rPr>
                <w:i/>
                <w:iCs/>
              </w:rPr>
              <w:t>0.885</w:t>
            </w:r>
          </w:p>
        </w:tc>
        <w:tc>
          <w:tcPr>
            <w:tcW w:w="992" w:type="dxa"/>
            <w:vAlign w:val="center"/>
          </w:tcPr>
          <w:p w14:paraId="0FCE5697" w14:textId="2E2B9F55" w:rsidR="00DE1BBD" w:rsidRPr="004D70F4" w:rsidRDefault="00DE1BBD" w:rsidP="00583870">
            <w:pPr>
              <w:pStyle w:val="TableText"/>
              <w:jc w:val="center"/>
            </w:pPr>
            <w:r w:rsidRPr="004D70F4">
              <w:rPr>
                <w:szCs w:val="20"/>
              </w:rPr>
              <w:t>$</w:t>
            </w:r>
            <w:r w:rsidR="0090680E" w:rsidRPr="0090680E">
              <w:rPr>
                <w:b/>
                <w:bCs/>
              </w:rPr>
              <w:t>redacted</w:t>
            </w:r>
            <w:r w:rsidR="006637B0" w:rsidRPr="0090680E">
              <w:rPr>
                <w:vertAlign w:val="superscript"/>
              </w:rPr>
              <w:t>2</w:t>
            </w:r>
          </w:p>
        </w:tc>
        <w:tc>
          <w:tcPr>
            <w:tcW w:w="851" w:type="dxa"/>
            <w:vAlign w:val="center"/>
          </w:tcPr>
          <w:p w14:paraId="79DCA25D" w14:textId="5A8C3A66"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70CAF6EC" w14:textId="77777777" w:rsidTr="11FAFD31">
        <w:tc>
          <w:tcPr>
            <w:tcW w:w="4783" w:type="dxa"/>
          </w:tcPr>
          <w:p w14:paraId="6153B736" w14:textId="77777777" w:rsidR="00DE1BBD" w:rsidRPr="004D70F4" w:rsidRDefault="00DE1BBD" w:rsidP="00583870">
            <w:pPr>
              <w:pStyle w:val="TableText"/>
            </w:pPr>
            <w:r w:rsidRPr="004D70F4">
              <w:t>Gompertz used to extrapolate PFS2</w:t>
            </w:r>
          </w:p>
        </w:tc>
        <w:tc>
          <w:tcPr>
            <w:tcW w:w="1163" w:type="dxa"/>
            <w:vAlign w:val="center"/>
          </w:tcPr>
          <w:p w14:paraId="63A88AA7" w14:textId="50A92F93" w:rsidR="00DE1BBD" w:rsidRPr="004D70F4" w:rsidRDefault="00DE1BBD" w:rsidP="00583870">
            <w:pPr>
              <w:pStyle w:val="TableText"/>
              <w:jc w:val="center"/>
              <w:rPr>
                <w:i/>
                <w:iCs/>
              </w:rPr>
            </w:pPr>
            <w:r w:rsidRPr="004D70F4">
              <w:rPr>
                <w:i/>
                <w:iCs/>
              </w:rPr>
              <w:t>$</w:t>
            </w:r>
            <w:r w:rsidR="0090680E" w:rsidRPr="0090680E">
              <w:rPr>
                <w:b/>
                <w:bCs/>
              </w:rPr>
              <w:t>redacted</w:t>
            </w:r>
          </w:p>
        </w:tc>
        <w:tc>
          <w:tcPr>
            <w:tcW w:w="1137" w:type="dxa"/>
            <w:vAlign w:val="center"/>
          </w:tcPr>
          <w:p w14:paraId="53DC020E" w14:textId="77777777" w:rsidR="00DE1BBD" w:rsidRPr="004D70F4" w:rsidRDefault="00DE1BBD" w:rsidP="00583870">
            <w:pPr>
              <w:pStyle w:val="TableText"/>
              <w:jc w:val="center"/>
              <w:rPr>
                <w:i/>
                <w:iCs/>
              </w:rPr>
            </w:pPr>
            <w:r w:rsidRPr="004D70F4">
              <w:rPr>
                <w:i/>
                <w:iCs/>
              </w:rPr>
              <w:t>0.853</w:t>
            </w:r>
          </w:p>
        </w:tc>
        <w:tc>
          <w:tcPr>
            <w:tcW w:w="992" w:type="dxa"/>
            <w:vAlign w:val="center"/>
          </w:tcPr>
          <w:p w14:paraId="3A47C7AD" w14:textId="0592F00D" w:rsidR="00DE1BBD" w:rsidRPr="004D70F4" w:rsidRDefault="00DE1BBD" w:rsidP="00583870">
            <w:pPr>
              <w:pStyle w:val="TableText"/>
              <w:jc w:val="center"/>
            </w:pPr>
            <w:r w:rsidRPr="004D70F4">
              <w:rPr>
                <w:szCs w:val="20"/>
              </w:rPr>
              <w:t>$</w:t>
            </w:r>
            <w:r w:rsidR="0090680E" w:rsidRPr="0090680E">
              <w:rPr>
                <w:b/>
                <w:bCs/>
              </w:rPr>
              <w:t>redacted</w:t>
            </w:r>
            <w:r w:rsidR="006637B0" w:rsidRPr="0090680E">
              <w:rPr>
                <w:vertAlign w:val="superscript"/>
              </w:rPr>
              <w:t>2</w:t>
            </w:r>
          </w:p>
        </w:tc>
        <w:tc>
          <w:tcPr>
            <w:tcW w:w="851" w:type="dxa"/>
            <w:vAlign w:val="center"/>
          </w:tcPr>
          <w:p w14:paraId="6EC40399" w14:textId="710FC76F"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6098CAAB" w14:textId="77777777" w:rsidTr="11FAFD31">
        <w:tc>
          <w:tcPr>
            <w:tcW w:w="4783" w:type="dxa"/>
            <w:tcBorders>
              <w:bottom w:val="single" w:sz="4" w:space="0" w:color="auto"/>
            </w:tcBorders>
          </w:tcPr>
          <w:p w14:paraId="356F9C9E" w14:textId="77777777" w:rsidR="00DE1BBD" w:rsidRPr="004D70F4" w:rsidRDefault="00DE1BBD" w:rsidP="00583870">
            <w:pPr>
              <w:pStyle w:val="TableText"/>
            </w:pPr>
            <w:r w:rsidRPr="004D70F4">
              <w:t xml:space="preserve">Gen Gamma used to extrapolate PFS2 </w:t>
            </w:r>
          </w:p>
        </w:tc>
        <w:tc>
          <w:tcPr>
            <w:tcW w:w="1163" w:type="dxa"/>
            <w:tcBorders>
              <w:bottom w:val="single" w:sz="4" w:space="0" w:color="auto"/>
            </w:tcBorders>
            <w:vAlign w:val="center"/>
          </w:tcPr>
          <w:p w14:paraId="15D82DFF" w14:textId="0562EDAE" w:rsidR="00DE1BBD" w:rsidRPr="004D70F4" w:rsidRDefault="00DE1BBD" w:rsidP="00583870">
            <w:pPr>
              <w:pStyle w:val="TableText"/>
              <w:jc w:val="center"/>
              <w:rPr>
                <w:i/>
                <w:iCs/>
              </w:rPr>
            </w:pPr>
            <w:r w:rsidRPr="004D70F4">
              <w:rPr>
                <w:i/>
                <w:iCs/>
              </w:rPr>
              <w:t>$</w:t>
            </w:r>
            <w:r w:rsidR="0090680E" w:rsidRPr="0090680E">
              <w:rPr>
                <w:b/>
                <w:bCs/>
              </w:rPr>
              <w:t>redacted</w:t>
            </w:r>
          </w:p>
        </w:tc>
        <w:tc>
          <w:tcPr>
            <w:tcW w:w="1137" w:type="dxa"/>
            <w:tcBorders>
              <w:bottom w:val="single" w:sz="4" w:space="0" w:color="auto"/>
            </w:tcBorders>
            <w:vAlign w:val="center"/>
          </w:tcPr>
          <w:p w14:paraId="216945E3" w14:textId="77777777" w:rsidR="00DE1BBD" w:rsidRPr="004D70F4" w:rsidRDefault="00DE1BBD" w:rsidP="00583870">
            <w:pPr>
              <w:pStyle w:val="TableText"/>
              <w:jc w:val="center"/>
              <w:rPr>
                <w:i/>
                <w:iCs/>
              </w:rPr>
            </w:pPr>
            <w:r w:rsidRPr="004D70F4">
              <w:rPr>
                <w:i/>
                <w:iCs/>
              </w:rPr>
              <w:t>0.940</w:t>
            </w:r>
          </w:p>
        </w:tc>
        <w:tc>
          <w:tcPr>
            <w:tcW w:w="992" w:type="dxa"/>
            <w:tcBorders>
              <w:bottom w:val="single" w:sz="4" w:space="0" w:color="auto"/>
            </w:tcBorders>
            <w:vAlign w:val="center"/>
          </w:tcPr>
          <w:p w14:paraId="5EAADC6C" w14:textId="3F44E588" w:rsidR="00DE1BBD" w:rsidRPr="004D70F4" w:rsidRDefault="00DE1BBD" w:rsidP="00583870">
            <w:pPr>
              <w:pStyle w:val="TableText"/>
              <w:jc w:val="center"/>
            </w:pPr>
            <w:r w:rsidRPr="004D70F4">
              <w:rPr>
                <w:szCs w:val="20"/>
              </w:rPr>
              <w:t>$</w:t>
            </w:r>
            <w:r w:rsidR="0090680E" w:rsidRPr="0090680E">
              <w:rPr>
                <w:b/>
                <w:bCs/>
              </w:rPr>
              <w:t>redacted</w:t>
            </w:r>
            <w:r w:rsidR="006637B0" w:rsidRPr="0090680E">
              <w:rPr>
                <w:vertAlign w:val="superscript"/>
              </w:rPr>
              <w:t>1</w:t>
            </w:r>
          </w:p>
        </w:tc>
        <w:tc>
          <w:tcPr>
            <w:tcW w:w="851" w:type="dxa"/>
            <w:tcBorders>
              <w:bottom w:val="single" w:sz="4" w:space="0" w:color="auto"/>
            </w:tcBorders>
            <w:vAlign w:val="center"/>
          </w:tcPr>
          <w:p w14:paraId="5BD6F599" w14:textId="51266A85"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5A20DF6D" w14:textId="77777777" w:rsidTr="11FAFD31">
        <w:tc>
          <w:tcPr>
            <w:tcW w:w="4783" w:type="dxa"/>
            <w:tcBorders>
              <w:right w:val="nil"/>
            </w:tcBorders>
          </w:tcPr>
          <w:p w14:paraId="60A3E506" w14:textId="77777777" w:rsidR="00DE1BBD" w:rsidRPr="004D70F4" w:rsidRDefault="00DE1BBD" w:rsidP="00583870">
            <w:pPr>
              <w:pStyle w:val="TableText"/>
            </w:pPr>
            <w:r w:rsidRPr="004D70F4">
              <w:t>OS extrapolation both arms (log normal in BC)</w:t>
            </w:r>
          </w:p>
        </w:tc>
        <w:tc>
          <w:tcPr>
            <w:tcW w:w="1163" w:type="dxa"/>
            <w:tcBorders>
              <w:left w:val="nil"/>
              <w:right w:val="nil"/>
            </w:tcBorders>
            <w:vAlign w:val="center"/>
          </w:tcPr>
          <w:p w14:paraId="0A960E65" w14:textId="77777777" w:rsidR="00DE1BBD" w:rsidRPr="004D70F4" w:rsidRDefault="00DE1BBD" w:rsidP="00583870">
            <w:pPr>
              <w:pStyle w:val="TableText"/>
              <w:jc w:val="center"/>
              <w:rPr>
                <w:i/>
                <w:iCs/>
              </w:rPr>
            </w:pPr>
          </w:p>
        </w:tc>
        <w:tc>
          <w:tcPr>
            <w:tcW w:w="1137" w:type="dxa"/>
            <w:tcBorders>
              <w:left w:val="nil"/>
              <w:right w:val="nil"/>
            </w:tcBorders>
            <w:vAlign w:val="center"/>
          </w:tcPr>
          <w:p w14:paraId="39B2EBCB" w14:textId="77777777" w:rsidR="00DE1BBD" w:rsidRPr="004D70F4" w:rsidRDefault="00DE1BBD" w:rsidP="00583870">
            <w:pPr>
              <w:pStyle w:val="TableText"/>
              <w:jc w:val="center"/>
              <w:rPr>
                <w:i/>
                <w:iCs/>
              </w:rPr>
            </w:pPr>
          </w:p>
        </w:tc>
        <w:tc>
          <w:tcPr>
            <w:tcW w:w="992" w:type="dxa"/>
            <w:tcBorders>
              <w:left w:val="nil"/>
              <w:right w:val="nil"/>
            </w:tcBorders>
            <w:vAlign w:val="center"/>
          </w:tcPr>
          <w:p w14:paraId="200C9FF1" w14:textId="77777777" w:rsidR="00DE1BBD" w:rsidRPr="004D70F4" w:rsidRDefault="00DE1BBD" w:rsidP="00583870">
            <w:pPr>
              <w:pStyle w:val="TableText"/>
              <w:jc w:val="center"/>
              <w:rPr>
                <w:szCs w:val="20"/>
              </w:rPr>
            </w:pPr>
          </w:p>
        </w:tc>
        <w:tc>
          <w:tcPr>
            <w:tcW w:w="851" w:type="dxa"/>
            <w:tcBorders>
              <w:left w:val="nil"/>
            </w:tcBorders>
            <w:vAlign w:val="center"/>
          </w:tcPr>
          <w:p w14:paraId="1F60A82F" w14:textId="77777777" w:rsidR="00DE1BBD" w:rsidRPr="0090680E" w:rsidRDefault="00DE1BBD" w:rsidP="11FAFD31">
            <w:pPr>
              <w:pStyle w:val="TableText"/>
              <w:jc w:val="center"/>
              <w:rPr>
                <w:i/>
                <w:iCs/>
              </w:rPr>
            </w:pPr>
          </w:p>
        </w:tc>
      </w:tr>
      <w:tr w:rsidR="00DE1BBD" w:rsidRPr="004D70F4" w14:paraId="3C832F4C" w14:textId="77777777" w:rsidTr="11FAFD31">
        <w:tc>
          <w:tcPr>
            <w:tcW w:w="4783" w:type="dxa"/>
          </w:tcPr>
          <w:p w14:paraId="3A2835F6" w14:textId="77777777" w:rsidR="00DE1BBD" w:rsidRPr="004D70F4" w:rsidRDefault="00DE1BBD" w:rsidP="00583870">
            <w:pPr>
              <w:pStyle w:val="TableText"/>
            </w:pPr>
            <w:r w:rsidRPr="004D70F4">
              <w:t>Weibull used to extrapolate OS</w:t>
            </w:r>
          </w:p>
        </w:tc>
        <w:tc>
          <w:tcPr>
            <w:tcW w:w="1163" w:type="dxa"/>
            <w:vAlign w:val="center"/>
          </w:tcPr>
          <w:p w14:paraId="33AADE48" w14:textId="49D16188" w:rsidR="00DE1BBD" w:rsidRPr="004D70F4" w:rsidRDefault="00DE1BBD" w:rsidP="00583870">
            <w:pPr>
              <w:pStyle w:val="TableText"/>
              <w:jc w:val="center"/>
              <w:rPr>
                <w:i/>
                <w:iCs/>
              </w:rPr>
            </w:pPr>
            <w:r w:rsidRPr="004D70F4">
              <w:rPr>
                <w:i/>
                <w:iCs/>
              </w:rPr>
              <w:t>$</w:t>
            </w:r>
            <w:r w:rsidR="0090680E" w:rsidRPr="0090680E">
              <w:rPr>
                <w:b/>
                <w:bCs/>
              </w:rPr>
              <w:t>redacted</w:t>
            </w:r>
          </w:p>
        </w:tc>
        <w:tc>
          <w:tcPr>
            <w:tcW w:w="1137" w:type="dxa"/>
            <w:vAlign w:val="center"/>
          </w:tcPr>
          <w:p w14:paraId="3D1E47AC" w14:textId="77777777" w:rsidR="00DE1BBD" w:rsidRPr="004D70F4" w:rsidRDefault="00DE1BBD" w:rsidP="00583870">
            <w:pPr>
              <w:pStyle w:val="TableText"/>
              <w:jc w:val="center"/>
              <w:rPr>
                <w:i/>
                <w:iCs/>
              </w:rPr>
            </w:pPr>
            <w:r w:rsidRPr="004D70F4">
              <w:rPr>
                <w:i/>
                <w:iCs/>
              </w:rPr>
              <w:t>0.727</w:t>
            </w:r>
          </w:p>
        </w:tc>
        <w:tc>
          <w:tcPr>
            <w:tcW w:w="992" w:type="dxa"/>
            <w:vAlign w:val="center"/>
          </w:tcPr>
          <w:p w14:paraId="4DB07151" w14:textId="009789DC" w:rsidR="00DE1BBD" w:rsidRPr="004D70F4" w:rsidRDefault="00DE1BBD" w:rsidP="00583870">
            <w:pPr>
              <w:pStyle w:val="TableText"/>
              <w:jc w:val="center"/>
            </w:pPr>
            <w:r w:rsidRPr="004D70F4">
              <w:rPr>
                <w:szCs w:val="20"/>
              </w:rPr>
              <w:t>$</w:t>
            </w:r>
            <w:r w:rsidR="0090680E" w:rsidRPr="0090680E">
              <w:rPr>
                <w:b/>
                <w:bCs/>
              </w:rPr>
              <w:t>redacted</w:t>
            </w:r>
            <w:r w:rsidR="006637B0" w:rsidRPr="0090680E">
              <w:rPr>
                <w:vertAlign w:val="superscript"/>
              </w:rPr>
              <w:t>2</w:t>
            </w:r>
          </w:p>
        </w:tc>
        <w:tc>
          <w:tcPr>
            <w:tcW w:w="851" w:type="dxa"/>
            <w:vAlign w:val="center"/>
          </w:tcPr>
          <w:p w14:paraId="04F8167B" w14:textId="50905C2B"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1E71FB66" w14:textId="77777777" w:rsidTr="11FAFD31">
        <w:tc>
          <w:tcPr>
            <w:tcW w:w="4783" w:type="dxa"/>
          </w:tcPr>
          <w:p w14:paraId="0FBA3C72" w14:textId="77777777" w:rsidR="00DE1BBD" w:rsidRPr="004D70F4" w:rsidRDefault="00DE1BBD" w:rsidP="00583870">
            <w:pPr>
              <w:pStyle w:val="TableText"/>
            </w:pPr>
            <w:r w:rsidRPr="004D70F4">
              <w:t xml:space="preserve">Gen Gamma used to extrapolate OS </w:t>
            </w:r>
          </w:p>
        </w:tc>
        <w:tc>
          <w:tcPr>
            <w:tcW w:w="1163" w:type="dxa"/>
            <w:vAlign w:val="center"/>
          </w:tcPr>
          <w:p w14:paraId="76AD9FFA" w14:textId="4D2CADA5" w:rsidR="00DE1BBD" w:rsidRPr="004D70F4" w:rsidRDefault="00DE1BBD" w:rsidP="00583870">
            <w:pPr>
              <w:pStyle w:val="TableText"/>
              <w:jc w:val="center"/>
              <w:rPr>
                <w:i/>
                <w:iCs/>
              </w:rPr>
            </w:pPr>
            <w:r w:rsidRPr="004D70F4">
              <w:rPr>
                <w:i/>
                <w:iCs/>
              </w:rPr>
              <w:t>$</w:t>
            </w:r>
            <w:r w:rsidR="0090680E" w:rsidRPr="0090680E">
              <w:rPr>
                <w:b/>
                <w:bCs/>
              </w:rPr>
              <w:t>redacted</w:t>
            </w:r>
          </w:p>
        </w:tc>
        <w:tc>
          <w:tcPr>
            <w:tcW w:w="1137" w:type="dxa"/>
            <w:vAlign w:val="center"/>
          </w:tcPr>
          <w:p w14:paraId="7DDF2D5B" w14:textId="77777777" w:rsidR="00DE1BBD" w:rsidRPr="004D70F4" w:rsidRDefault="00DE1BBD" w:rsidP="00583870">
            <w:pPr>
              <w:pStyle w:val="TableText"/>
              <w:jc w:val="center"/>
              <w:rPr>
                <w:i/>
                <w:iCs/>
              </w:rPr>
            </w:pPr>
            <w:r w:rsidRPr="004D70F4">
              <w:rPr>
                <w:i/>
                <w:iCs/>
              </w:rPr>
              <w:t>1.003</w:t>
            </w:r>
          </w:p>
        </w:tc>
        <w:tc>
          <w:tcPr>
            <w:tcW w:w="992" w:type="dxa"/>
            <w:vAlign w:val="center"/>
          </w:tcPr>
          <w:p w14:paraId="75DBFFB4" w14:textId="460E77F2" w:rsidR="00DE1BBD" w:rsidRPr="004D70F4" w:rsidRDefault="00DE1BBD" w:rsidP="00583870">
            <w:pPr>
              <w:pStyle w:val="TableText"/>
              <w:jc w:val="center"/>
            </w:pPr>
            <w:r w:rsidRPr="004D70F4">
              <w:rPr>
                <w:szCs w:val="20"/>
              </w:rPr>
              <w:t>$</w:t>
            </w:r>
            <w:r w:rsidR="0090680E" w:rsidRPr="0090680E">
              <w:rPr>
                <w:b/>
                <w:bCs/>
              </w:rPr>
              <w:t>redacted</w:t>
            </w:r>
            <w:r w:rsidR="006637B0" w:rsidRPr="0090680E">
              <w:rPr>
                <w:vertAlign w:val="superscript"/>
              </w:rPr>
              <w:t>1</w:t>
            </w:r>
          </w:p>
        </w:tc>
        <w:tc>
          <w:tcPr>
            <w:tcW w:w="851" w:type="dxa"/>
            <w:vAlign w:val="center"/>
          </w:tcPr>
          <w:p w14:paraId="13EDA224" w14:textId="341C530F"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215DAA57" w14:textId="77777777" w:rsidTr="11FAFD31">
        <w:tc>
          <w:tcPr>
            <w:tcW w:w="4783" w:type="dxa"/>
            <w:tcBorders>
              <w:bottom w:val="single" w:sz="4" w:space="0" w:color="auto"/>
            </w:tcBorders>
          </w:tcPr>
          <w:p w14:paraId="15C63400" w14:textId="77777777" w:rsidR="00DE1BBD" w:rsidRPr="004D70F4" w:rsidRDefault="00DE1BBD" w:rsidP="00583870">
            <w:pPr>
              <w:pStyle w:val="TableText"/>
            </w:pPr>
            <w:r w:rsidRPr="004D70F4">
              <w:t>Extended OS follow-up (Robson 2023) used to extrapolate OS</w:t>
            </w:r>
          </w:p>
        </w:tc>
        <w:tc>
          <w:tcPr>
            <w:tcW w:w="1163" w:type="dxa"/>
            <w:tcBorders>
              <w:bottom w:val="single" w:sz="4" w:space="0" w:color="auto"/>
            </w:tcBorders>
            <w:vAlign w:val="center"/>
          </w:tcPr>
          <w:p w14:paraId="6FC5A376" w14:textId="3DAB3F9D" w:rsidR="00DE1BBD" w:rsidRPr="004D70F4" w:rsidRDefault="00DE1BBD" w:rsidP="00583870">
            <w:pPr>
              <w:pStyle w:val="TableText"/>
              <w:jc w:val="center"/>
              <w:rPr>
                <w:i/>
                <w:iCs/>
              </w:rPr>
            </w:pPr>
            <w:r w:rsidRPr="004D70F4">
              <w:rPr>
                <w:i/>
                <w:iCs/>
              </w:rPr>
              <w:t>$</w:t>
            </w:r>
            <w:r w:rsidR="0090680E" w:rsidRPr="0090680E">
              <w:rPr>
                <w:b/>
                <w:bCs/>
              </w:rPr>
              <w:t>redacted</w:t>
            </w:r>
          </w:p>
        </w:tc>
        <w:tc>
          <w:tcPr>
            <w:tcW w:w="1137" w:type="dxa"/>
            <w:tcBorders>
              <w:bottom w:val="single" w:sz="4" w:space="0" w:color="auto"/>
            </w:tcBorders>
            <w:vAlign w:val="center"/>
          </w:tcPr>
          <w:p w14:paraId="0C1CE04E" w14:textId="77777777" w:rsidR="00DE1BBD" w:rsidRPr="004D70F4" w:rsidRDefault="00DE1BBD" w:rsidP="00583870">
            <w:pPr>
              <w:pStyle w:val="TableText"/>
              <w:jc w:val="center"/>
              <w:rPr>
                <w:i/>
                <w:iCs/>
              </w:rPr>
            </w:pPr>
            <w:r w:rsidRPr="004D70F4">
              <w:rPr>
                <w:i/>
                <w:iCs/>
              </w:rPr>
              <w:t>0.898</w:t>
            </w:r>
          </w:p>
        </w:tc>
        <w:tc>
          <w:tcPr>
            <w:tcW w:w="992" w:type="dxa"/>
            <w:tcBorders>
              <w:bottom w:val="single" w:sz="4" w:space="0" w:color="auto"/>
            </w:tcBorders>
            <w:vAlign w:val="center"/>
          </w:tcPr>
          <w:p w14:paraId="4AD5BC2B" w14:textId="6DB449B7" w:rsidR="00DE1BBD" w:rsidRPr="004D70F4" w:rsidRDefault="00DE1BBD" w:rsidP="00583870">
            <w:pPr>
              <w:pStyle w:val="TableText"/>
              <w:jc w:val="center"/>
            </w:pPr>
            <w:r w:rsidRPr="004D70F4">
              <w:rPr>
                <w:szCs w:val="20"/>
              </w:rPr>
              <w:t>$</w:t>
            </w:r>
            <w:r w:rsidR="0090680E" w:rsidRPr="0090680E">
              <w:rPr>
                <w:b/>
                <w:bCs/>
              </w:rPr>
              <w:t>redacted</w:t>
            </w:r>
            <w:r w:rsidR="006637B0" w:rsidRPr="0090680E">
              <w:rPr>
                <w:vertAlign w:val="superscript"/>
              </w:rPr>
              <w:t>1</w:t>
            </w:r>
          </w:p>
        </w:tc>
        <w:tc>
          <w:tcPr>
            <w:tcW w:w="851" w:type="dxa"/>
            <w:tcBorders>
              <w:bottom w:val="single" w:sz="4" w:space="0" w:color="auto"/>
            </w:tcBorders>
            <w:vAlign w:val="center"/>
          </w:tcPr>
          <w:p w14:paraId="04A0A16E" w14:textId="387CEFF6"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69FEDADB" w14:textId="77777777" w:rsidTr="11FAFD31">
        <w:tc>
          <w:tcPr>
            <w:tcW w:w="4783" w:type="dxa"/>
            <w:tcBorders>
              <w:right w:val="nil"/>
            </w:tcBorders>
          </w:tcPr>
          <w:p w14:paraId="215C99FC" w14:textId="77777777" w:rsidR="00DE1BBD" w:rsidRPr="004D70F4" w:rsidRDefault="00DE1BBD" w:rsidP="00583870">
            <w:pPr>
              <w:pStyle w:val="TableText"/>
            </w:pPr>
            <w:r w:rsidRPr="004D70F4">
              <w:t>Utilities</w:t>
            </w:r>
          </w:p>
        </w:tc>
        <w:tc>
          <w:tcPr>
            <w:tcW w:w="1163" w:type="dxa"/>
            <w:tcBorders>
              <w:left w:val="nil"/>
              <w:right w:val="nil"/>
            </w:tcBorders>
            <w:vAlign w:val="center"/>
          </w:tcPr>
          <w:p w14:paraId="788C0BDF" w14:textId="77777777" w:rsidR="00DE1BBD" w:rsidRPr="004D70F4" w:rsidRDefault="00DE1BBD" w:rsidP="00583870">
            <w:pPr>
              <w:pStyle w:val="TableText"/>
              <w:jc w:val="center"/>
              <w:rPr>
                <w:i/>
                <w:iCs/>
              </w:rPr>
            </w:pPr>
          </w:p>
        </w:tc>
        <w:tc>
          <w:tcPr>
            <w:tcW w:w="1137" w:type="dxa"/>
            <w:tcBorders>
              <w:left w:val="nil"/>
              <w:right w:val="nil"/>
            </w:tcBorders>
            <w:vAlign w:val="center"/>
          </w:tcPr>
          <w:p w14:paraId="2FB0541D" w14:textId="77777777" w:rsidR="00DE1BBD" w:rsidRPr="004D70F4" w:rsidRDefault="00DE1BBD" w:rsidP="00583870">
            <w:pPr>
              <w:pStyle w:val="TableText"/>
              <w:jc w:val="center"/>
              <w:rPr>
                <w:i/>
                <w:iCs/>
              </w:rPr>
            </w:pPr>
          </w:p>
        </w:tc>
        <w:tc>
          <w:tcPr>
            <w:tcW w:w="992" w:type="dxa"/>
            <w:tcBorders>
              <w:left w:val="nil"/>
              <w:right w:val="nil"/>
            </w:tcBorders>
            <w:vAlign w:val="center"/>
          </w:tcPr>
          <w:p w14:paraId="1A9797CE" w14:textId="77777777" w:rsidR="00DE1BBD" w:rsidRPr="004D70F4" w:rsidRDefault="00DE1BBD" w:rsidP="00583870">
            <w:pPr>
              <w:pStyle w:val="TableText"/>
              <w:jc w:val="center"/>
              <w:rPr>
                <w:szCs w:val="20"/>
              </w:rPr>
            </w:pPr>
          </w:p>
        </w:tc>
        <w:tc>
          <w:tcPr>
            <w:tcW w:w="851" w:type="dxa"/>
            <w:tcBorders>
              <w:left w:val="nil"/>
            </w:tcBorders>
            <w:vAlign w:val="center"/>
          </w:tcPr>
          <w:p w14:paraId="44A78750" w14:textId="77777777" w:rsidR="00DE1BBD" w:rsidRPr="0090680E" w:rsidRDefault="00DE1BBD" w:rsidP="11FAFD31">
            <w:pPr>
              <w:pStyle w:val="TableText"/>
              <w:jc w:val="center"/>
              <w:rPr>
                <w:i/>
                <w:iCs/>
              </w:rPr>
            </w:pPr>
          </w:p>
        </w:tc>
      </w:tr>
      <w:tr w:rsidR="00DE1BBD" w:rsidRPr="004D70F4" w14:paraId="5FF3897D" w14:textId="77777777" w:rsidTr="11FAFD31">
        <w:tc>
          <w:tcPr>
            <w:tcW w:w="4783" w:type="dxa"/>
            <w:tcBorders>
              <w:bottom w:val="single" w:sz="4" w:space="0" w:color="auto"/>
            </w:tcBorders>
          </w:tcPr>
          <w:p w14:paraId="711EF8BE" w14:textId="77777777" w:rsidR="00DE1BBD" w:rsidRPr="004D70F4" w:rsidRDefault="00DE1BBD" w:rsidP="00583870">
            <w:pPr>
              <w:pStyle w:val="TableText"/>
            </w:pPr>
            <w:r w:rsidRPr="004D70F4">
              <w:t>Removal of treatment-specific utility scores in both PFS1 and PFS2</w:t>
            </w:r>
          </w:p>
        </w:tc>
        <w:tc>
          <w:tcPr>
            <w:tcW w:w="1163" w:type="dxa"/>
            <w:tcBorders>
              <w:bottom w:val="single" w:sz="4" w:space="0" w:color="auto"/>
            </w:tcBorders>
            <w:vAlign w:val="center"/>
          </w:tcPr>
          <w:p w14:paraId="4C399486" w14:textId="2C0E7B39" w:rsidR="00DE1BBD" w:rsidRPr="004D70F4" w:rsidRDefault="00DE1BBD" w:rsidP="00583870">
            <w:pPr>
              <w:pStyle w:val="TableText"/>
              <w:jc w:val="center"/>
              <w:rPr>
                <w:i/>
                <w:iCs/>
              </w:rPr>
            </w:pPr>
            <w:r w:rsidRPr="004D70F4">
              <w:rPr>
                <w:i/>
                <w:iCs/>
              </w:rPr>
              <w:t>$</w:t>
            </w:r>
            <w:r w:rsidR="0090680E" w:rsidRPr="0090680E">
              <w:rPr>
                <w:b/>
                <w:bCs/>
              </w:rPr>
              <w:t>redacted</w:t>
            </w:r>
          </w:p>
        </w:tc>
        <w:tc>
          <w:tcPr>
            <w:tcW w:w="1137" w:type="dxa"/>
            <w:tcBorders>
              <w:bottom w:val="single" w:sz="4" w:space="0" w:color="auto"/>
            </w:tcBorders>
            <w:vAlign w:val="center"/>
          </w:tcPr>
          <w:p w14:paraId="5803AA20" w14:textId="77777777" w:rsidR="00DE1BBD" w:rsidRPr="004D70F4" w:rsidRDefault="00DE1BBD" w:rsidP="00583870">
            <w:pPr>
              <w:pStyle w:val="TableText"/>
              <w:jc w:val="center"/>
              <w:rPr>
                <w:i/>
                <w:iCs/>
              </w:rPr>
            </w:pPr>
            <w:r w:rsidRPr="004D70F4">
              <w:rPr>
                <w:i/>
                <w:iCs/>
              </w:rPr>
              <w:t>0.812</w:t>
            </w:r>
          </w:p>
        </w:tc>
        <w:tc>
          <w:tcPr>
            <w:tcW w:w="992" w:type="dxa"/>
            <w:tcBorders>
              <w:bottom w:val="single" w:sz="4" w:space="0" w:color="auto"/>
            </w:tcBorders>
            <w:vAlign w:val="center"/>
          </w:tcPr>
          <w:p w14:paraId="1FA2787A" w14:textId="4299FECB" w:rsidR="00DE1BBD" w:rsidRPr="004D70F4" w:rsidRDefault="00DE1BBD" w:rsidP="00583870">
            <w:pPr>
              <w:pStyle w:val="TableText"/>
              <w:jc w:val="center"/>
            </w:pPr>
            <w:r w:rsidRPr="004D70F4">
              <w:rPr>
                <w:szCs w:val="20"/>
              </w:rPr>
              <w:t>$</w:t>
            </w:r>
            <w:r w:rsidR="0090680E" w:rsidRPr="0090680E">
              <w:rPr>
                <w:b/>
                <w:bCs/>
              </w:rPr>
              <w:t>redacted</w:t>
            </w:r>
            <w:r w:rsidR="006637B0" w:rsidRPr="0090680E">
              <w:rPr>
                <w:vertAlign w:val="superscript"/>
              </w:rPr>
              <w:t>2</w:t>
            </w:r>
          </w:p>
        </w:tc>
        <w:tc>
          <w:tcPr>
            <w:tcW w:w="851" w:type="dxa"/>
            <w:tcBorders>
              <w:bottom w:val="single" w:sz="4" w:space="0" w:color="auto"/>
            </w:tcBorders>
            <w:vAlign w:val="center"/>
          </w:tcPr>
          <w:p w14:paraId="36F4948C" w14:textId="28D0775B"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447F6C43" w14:textId="77777777" w:rsidTr="11FAFD31">
        <w:tc>
          <w:tcPr>
            <w:tcW w:w="4783" w:type="dxa"/>
            <w:tcBorders>
              <w:right w:val="nil"/>
            </w:tcBorders>
          </w:tcPr>
          <w:p w14:paraId="1CEE56F4" w14:textId="77777777" w:rsidR="00DE1BBD" w:rsidRPr="004D70F4" w:rsidRDefault="00DE1BBD" w:rsidP="00583870">
            <w:pPr>
              <w:pStyle w:val="TableText"/>
            </w:pPr>
            <w:r w:rsidRPr="004D70F4">
              <w:t>Costs</w:t>
            </w:r>
          </w:p>
        </w:tc>
        <w:tc>
          <w:tcPr>
            <w:tcW w:w="1163" w:type="dxa"/>
            <w:tcBorders>
              <w:left w:val="nil"/>
              <w:right w:val="nil"/>
            </w:tcBorders>
            <w:vAlign w:val="center"/>
          </w:tcPr>
          <w:p w14:paraId="7E8AA09C" w14:textId="77777777" w:rsidR="00DE1BBD" w:rsidRPr="004D70F4" w:rsidRDefault="00DE1BBD" w:rsidP="00583870">
            <w:pPr>
              <w:pStyle w:val="TableText"/>
              <w:jc w:val="center"/>
              <w:rPr>
                <w:i/>
                <w:iCs/>
              </w:rPr>
            </w:pPr>
          </w:p>
        </w:tc>
        <w:tc>
          <w:tcPr>
            <w:tcW w:w="1137" w:type="dxa"/>
            <w:tcBorders>
              <w:left w:val="nil"/>
              <w:right w:val="nil"/>
            </w:tcBorders>
            <w:vAlign w:val="center"/>
          </w:tcPr>
          <w:p w14:paraId="274075F0" w14:textId="77777777" w:rsidR="00DE1BBD" w:rsidRPr="004D70F4" w:rsidRDefault="00DE1BBD" w:rsidP="00583870">
            <w:pPr>
              <w:pStyle w:val="TableText"/>
              <w:jc w:val="center"/>
              <w:rPr>
                <w:i/>
                <w:iCs/>
              </w:rPr>
            </w:pPr>
          </w:p>
        </w:tc>
        <w:tc>
          <w:tcPr>
            <w:tcW w:w="992" w:type="dxa"/>
            <w:tcBorders>
              <w:left w:val="nil"/>
              <w:right w:val="nil"/>
            </w:tcBorders>
            <w:vAlign w:val="center"/>
          </w:tcPr>
          <w:p w14:paraId="6EF93600" w14:textId="77777777" w:rsidR="00DE1BBD" w:rsidRPr="004D70F4" w:rsidRDefault="00DE1BBD" w:rsidP="00583870">
            <w:pPr>
              <w:pStyle w:val="TableText"/>
              <w:jc w:val="center"/>
              <w:rPr>
                <w:szCs w:val="20"/>
              </w:rPr>
            </w:pPr>
          </w:p>
        </w:tc>
        <w:tc>
          <w:tcPr>
            <w:tcW w:w="851" w:type="dxa"/>
            <w:tcBorders>
              <w:left w:val="nil"/>
            </w:tcBorders>
            <w:vAlign w:val="center"/>
          </w:tcPr>
          <w:p w14:paraId="69999895" w14:textId="77777777" w:rsidR="00DE1BBD" w:rsidRPr="0090680E" w:rsidRDefault="00DE1BBD" w:rsidP="11FAFD31">
            <w:pPr>
              <w:pStyle w:val="TableText"/>
              <w:jc w:val="center"/>
              <w:rPr>
                <w:i/>
                <w:iCs/>
              </w:rPr>
            </w:pPr>
          </w:p>
        </w:tc>
      </w:tr>
      <w:tr w:rsidR="00DE1BBD" w:rsidRPr="004D70F4" w14:paraId="5BC76A62" w14:textId="77777777" w:rsidTr="0090680E">
        <w:tc>
          <w:tcPr>
            <w:tcW w:w="4783" w:type="dxa"/>
          </w:tcPr>
          <w:p w14:paraId="676921E6" w14:textId="77777777" w:rsidR="00DE1BBD" w:rsidRPr="004D70F4" w:rsidRDefault="00DE1BBD" w:rsidP="00583870">
            <w:pPr>
              <w:pStyle w:val="TableText"/>
            </w:pPr>
            <w:r w:rsidRPr="004D70F4">
              <w:t>Utility in PFS2 and disease monitoring costs set to same as PD</w:t>
            </w:r>
          </w:p>
        </w:tc>
        <w:tc>
          <w:tcPr>
            <w:tcW w:w="1163" w:type="dxa"/>
            <w:vAlign w:val="center"/>
          </w:tcPr>
          <w:p w14:paraId="47467368" w14:textId="607FAE15" w:rsidR="00DE1BBD" w:rsidRPr="004D70F4" w:rsidRDefault="00DE1BBD" w:rsidP="00583870">
            <w:pPr>
              <w:pStyle w:val="TableText"/>
              <w:jc w:val="center"/>
              <w:rPr>
                <w:i/>
                <w:iCs/>
              </w:rPr>
            </w:pPr>
            <w:r w:rsidRPr="004D70F4">
              <w:rPr>
                <w:i/>
                <w:iCs/>
              </w:rPr>
              <w:t>$</w:t>
            </w:r>
            <w:r w:rsidR="0090680E" w:rsidRPr="0090680E">
              <w:rPr>
                <w:b/>
                <w:bCs/>
              </w:rPr>
              <w:t>redacted</w:t>
            </w:r>
          </w:p>
        </w:tc>
        <w:tc>
          <w:tcPr>
            <w:tcW w:w="1137" w:type="dxa"/>
            <w:vAlign w:val="center"/>
          </w:tcPr>
          <w:p w14:paraId="74C64A79" w14:textId="77777777" w:rsidR="00DE1BBD" w:rsidRPr="004D70F4" w:rsidRDefault="00DE1BBD" w:rsidP="00583870">
            <w:pPr>
              <w:pStyle w:val="TableText"/>
              <w:jc w:val="center"/>
              <w:rPr>
                <w:i/>
                <w:iCs/>
              </w:rPr>
            </w:pPr>
            <w:r w:rsidRPr="004D70F4">
              <w:rPr>
                <w:i/>
                <w:iCs/>
              </w:rPr>
              <w:t>0.816</w:t>
            </w:r>
          </w:p>
        </w:tc>
        <w:tc>
          <w:tcPr>
            <w:tcW w:w="992" w:type="dxa"/>
            <w:shd w:val="clear" w:color="auto" w:fill="auto"/>
            <w:vAlign w:val="center"/>
          </w:tcPr>
          <w:p w14:paraId="76240129" w14:textId="1D46352C" w:rsidR="00DE1BBD" w:rsidRPr="004D70F4" w:rsidRDefault="00DE1BBD" w:rsidP="00583870">
            <w:pPr>
              <w:pStyle w:val="TableText"/>
              <w:jc w:val="center"/>
            </w:pPr>
            <w:r w:rsidRPr="004D70F4">
              <w:t>$</w:t>
            </w:r>
            <w:r w:rsidR="0090680E" w:rsidRPr="0090680E">
              <w:rPr>
                <w:b/>
                <w:bCs/>
              </w:rPr>
              <w:t>redacted</w:t>
            </w:r>
            <w:r w:rsidR="006637B0" w:rsidRPr="0090680E">
              <w:rPr>
                <w:vertAlign w:val="superscript"/>
              </w:rPr>
              <w:t>2</w:t>
            </w:r>
          </w:p>
        </w:tc>
        <w:tc>
          <w:tcPr>
            <w:tcW w:w="851" w:type="dxa"/>
            <w:vAlign w:val="center"/>
          </w:tcPr>
          <w:p w14:paraId="5E4D6FD0" w14:textId="29728EC9"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7F157F5F" w14:textId="77777777" w:rsidTr="11FAFD31">
        <w:tc>
          <w:tcPr>
            <w:tcW w:w="4783" w:type="dxa"/>
          </w:tcPr>
          <w:p w14:paraId="0C491A0E" w14:textId="77777777" w:rsidR="00DE1BBD" w:rsidRPr="005F08D0" w:rsidRDefault="00DE1BBD" w:rsidP="00583870">
            <w:pPr>
              <w:pStyle w:val="TableText"/>
              <w:rPr>
                <w:i/>
                <w:iCs/>
              </w:rPr>
            </w:pPr>
            <w:r w:rsidRPr="005F08D0">
              <w:rPr>
                <w:i/>
                <w:iCs/>
              </w:rPr>
              <w:t xml:space="preserve">Account for BRCAm prevalence in testing </w:t>
            </w:r>
            <w:r w:rsidRPr="005F08D0">
              <w:rPr>
                <w:i/>
                <w:iCs/>
                <w:vertAlign w:val="superscript"/>
              </w:rPr>
              <w:t>a</w:t>
            </w:r>
          </w:p>
        </w:tc>
        <w:tc>
          <w:tcPr>
            <w:tcW w:w="1163" w:type="dxa"/>
            <w:vAlign w:val="center"/>
          </w:tcPr>
          <w:p w14:paraId="6B794680" w14:textId="2ADC7888" w:rsidR="00DE1BBD" w:rsidRPr="004D70F4" w:rsidRDefault="00DE1BBD" w:rsidP="00583870">
            <w:pPr>
              <w:pStyle w:val="TableText"/>
              <w:jc w:val="center"/>
              <w:rPr>
                <w:i/>
                <w:iCs/>
              </w:rPr>
            </w:pPr>
            <w:r>
              <w:rPr>
                <w:i/>
                <w:iCs/>
              </w:rPr>
              <w:t>$</w:t>
            </w:r>
            <w:r w:rsidR="0090680E" w:rsidRPr="0090680E">
              <w:rPr>
                <w:b/>
                <w:bCs/>
              </w:rPr>
              <w:t>redacted</w:t>
            </w:r>
          </w:p>
        </w:tc>
        <w:tc>
          <w:tcPr>
            <w:tcW w:w="1137" w:type="dxa"/>
            <w:vAlign w:val="center"/>
          </w:tcPr>
          <w:p w14:paraId="26929E47" w14:textId="77777777" w:rsidR="00DE1BBD" w:rsidRPr="004D70F4" w:rsidRDefault="00DE1BBD" w:rsidP="00583870">
            <w:pPr>
              <w:pStyle w:val="TableText"/>
              <w:jc w:val="center"/>
              <w:rPr>
                <w:i/>
                <w:iCs/>
              </w:rPr>
            </w:pPr>
            <w:r>
              <w:rPr>
                <w:i/>
                <w:iCs/>
              </w:rPr>
              <w:t>0.880</w:t>
            </w:r>
          </w:p>
        </w:tc>
        <w:tc>
          <w:tcPr>
            <w:tcW w:w="992" w:type="dxa"/>
            <w:vAlign w:val="center"/>
          </w:tcPr>
          <w:p w14:paraId="61CED458" w14:textId="6708C621" w:rsidR="00DE1BBD" w:rsidRPr="004D70F4" w:rsidRDefault="00DE1BBD" w:rsidP="00583870">
            <w:pPr>
              <w:pStyle w:val="TableText"/>
              <w:jc w:val="center"/>
            </w:pPr>
            <w:r>
              <w:rPr>
                <w:i/>
                <w:iCs/>
                <w:szCs w:val="20"/>
              </w:rPr>
              <w:t>$</w:t>
            </w:r>
            <w:r w:rsidR="0090680E" w:rsidRPr="0090680E">
              <w:rPr>
                <w:b/>
                <w:bCs/>
              </w:rPr>
              <w:t>redacted</w:t>
            </w:r>
            <w:r w:rsidR="006637B0" w:rsidRPr="0090680E">
              <w:rPr>
                <w:vertAlign w:val="superscript"/>
              </w:rPr>
              <w:t>2</w:t>
            </w:r>
          </w:p>
        </w:tc>
        <w:tc>
          <w:tcPr>
            <w:tcW w:w="851" w:type="dxa"/>
            <w:vAlign w:val="center"/>
          </w:tcPr>
          <w:p w14:paraId="56B529E8" w14:textId="56A5E031"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r w:rsidR="00DE1BBD" w:rsidRPr="004D70F4" w14:paraId="5BCFE5C1" w14:textId="77777777" w:rsidTr="11FAFD31">
        <w:tc>
          <w:tcPr>
            <w:tcW w:w="4783" w:type="dxa"/>
          </w:tcPr>
          <w:p w14:paraId="76C45466" w14:textId="77777777" w:rsidR="00DE1BBD" w:rsidRPr="004D70F4" w:rsidRDefault="00DE1BBD" w:rsidP="00583870">
            <w:pPr>
              <w:pStyle w:val="TableText"/>
              <w:rPr>
                <w:i/>
                <w:iCs/>
              </w:rPr>
            </w:pPr>
            <w:r w:rsidRPr="004D70F4">
              <w:rPr>
                <w:i/>
                <w:iCs/>
              </w:rPr>
              <w:t>Using time in PFS1 to inform treatment duration (olaparib: 13.60 months, chemotherapy: 9.37 cycles/6.47 months)</w:t>
            </w:r>
          </w:p>
        </w:tc>
        <w:tc>
          <w:tcPr>
            <w:tcW w:w="1163" w:type="dxa"/>
            <w:vAlign w:val="center"/>
          </w:tcPr>
          <w:p w14:paraId="64E6B4AE" w14:textId="34968979" w:rsidR="00DE1BBD" w:rsidRPr="004D70F4" w:rsidRDefault="00DE1BBD" w:rsidP="00583870">
            <w:pPr>
              <w:pStyle w:val="TableText"/>
              <w:jc w:val="center"/>
              <w:rPr>
                <w:i/>
                <w:iCs/>
              </w:rPr>
            </w:pPr>
            <w:r w:rsidRPr="004D70F4">
              <w:rPr>
                <w:i/>
                <w:iCs/>
              </w:rPr>
              <w:t>$</w:t>
            </w:r>
            <w:r w:rsidR="0090680E" w:rsidRPr="0090680E">
              <w:rPr>
                <w:b/>
                <w:bCs/>
              </w:rPr>
              <w:t>redacted</w:t>
            </w:r>
          </w:p>
        </w:tc>
        <w:tc>
          <w:tcPr>
            <w:tcW w:w="1137" w:type="dxa"/>
            <w:vAlign w:val="center"/>
          </w:tcPr>
          <w:p w14:paraId="01AE5925" w14:textId="77777777" w:rsidR="00DE1BBD" w:rsidRPr="004D70F4" w:rsidRDefault="00DE1BBD" w:rsidP="00583870">
            <w:pPr>
              <w:pStyle w:val="TableText"/>
              <w:jc w:val="center"/>
            </w:pPr>
            <w:r w:rsidRPr="004D70F4">
              <w:t>0.880</w:t>
            </w:r>
          </w:p>
        </w:tc>
        <w:tc>
          <w:tcPr>
            <w:tcW w:w="992" w:type="dxa"/>
            <w:vAlign w:val="center"/>
          </w:tcPr>
          <w:p w14:paraId="189EA36E" w14:textId="0E24C05A" w:rsidR="00DE1BBD" w:rsidRPr="004D70F4" w:rsidRDefault="00DE1BBD" w:rsidP="00583870">
            <w:pPr>
              <w:pStyle w:val="TableText"/>
              <w:jc w:val="center"/>
              <w:rPr>
                <w:i/>
                <w:iCs/>
                <w:szCs w:val="20"/>
              </w:rPr>
            </w:pPr>
            <w:r w:rsidRPr="004D70F4">
              <w:rPr>
                <w:i/>
                <w:iCs/>
                <w:szCs w:val="20"/>
              </w:rPr>
              <w:t>$</w:t>
            </w:r>
            <w:r w:rsidR="0090680E" w:rsidRPr="0090680E">
              <w:rPr>
                <w:b/>
                <w:bCs/>
              </w:rPr>
              <w:t>redacted</w:t>
            </w:r>
            <w:r w:rsidR="006637B0" w:rsidRPr="0090680E">
              <w:rPr>
                <w:vertAlign w:val="superscript"/>
              </w:rPr>
              <w:t>2</w:t>
            </w:r>
          </w:p>
        </w:tc>
        <w:tc>
          <w:tcPr>
            <w:tcW w:w="851" w:type="dxa"/>
            <w:vAlign w:val="center"/>
          </w:tcPr>
          <w:p w14:paraId="18F07547" w14:textId="32F3E48F" w:rsidR="00DE1BBD" w:rsidRPr="0090680E" w:rsidRDefault="0090680E" w:rsidP="11FAFD31">
            <w:pPr>
              <w:pStyle w:val="TableText"/>
              <w:jc w:val="center"/>
              <w:rPr>
                <w:i/>
                <w:iCs/>
                <w:color w:val="000000"/>
              </w:rPr>
            </w:pPr>
            <w:r w:rsidRPr="0090680E">
              <w:rPr>
                <w:b/>
                <w:bCs/>
                <w:i/>
                <w:iCs/>
                <w:color w:val="000000"/>
              </w:rPr>
              <w:t>redacted</w:t>
            </w:r>
            <w:r w:rsidR="00DE1BBD" w:rsidRPr="0090680E">
              <w:rPr>
                <w:i/>
                <w:iCs/>
                <w:color w:val="000000"/>
              </w:rPr>
              <w:t>%</w:t>
            </w:r>
          </w:p>
        </w:tc>
      </w:tr>
      <w:tr w:rsidR="00DE1BBD" w:rsidRPr="004D70F4" w14:paraId="654752C9" w14:textId="77777777" w:rsidTr="11FAFD31">
        <w:tc>
          <w:tcPr>
            <w:tcW w:w="4783" w:type="dxa"/>
          </w:tcPr>
          <w:p w14:paraId="51AE0975" w14:textId="77777777" w:rsidR="00DE1BBD" w:rsidRPr="004D70F4" w:rsidRDefault="00DE1BBD" w:rsidP="00583870">
            <w:pPr>
              <w:pStyle w:val="TableText"/>
              <w:rPr>
                <w:i/>
                <w:iCs/>
              </w:rPr>
            </w:pPr>
            <w:r w:rsidRPr="004D70F4">
              <w:rPr>
                <w:i/>
                <w:iCs/>
              </w:rPr>
              <w:t>Post progression targeted therapy use set to 0%</w:t>
            </w:r>
          </w:p>
        </w:tc>
        <w:tc>
          <w:tcPr>
            <w:tcW w:w="1163" w:type="dxa"/>
            <w:vAlign w:val="center"/>
          </w:tcPr>
          <w:p w14:paraId="1CADC05F" w14:textId="51940DB3" w:rsidR="00DE1BBD" w:rsidRPr="004D70F4" w:rsidRDefault="00DE1BBD" w:rsidP="00583870">
            <w:pPr>
              <w:pStyle w:val="TableText"/>
              <w:jc w:val="center"/>
              <w:rPr>
                <w:rStyle w:val="CommentReference"/>
                <w:rFonts w:eastAsia="Times New Roman" w:cs="Times New Roman"/>
                <w:b/>
                <w:i/>
                <w:iCs/>
              </w:rPr>
            </w:pPr>
            <w:r w:rsidRPr="004D70F4">
              <w:rPr>
                <w:rStyle w:val="CommentReference"/>
                <w:rFonts w:eastAsia="Times New Roman" w:cs="Times New Roman"/>
                <w:i/>
                <w:iCs/>
              </w:rPr>
              <w:t>$</w:t>
            </w:r>
            <w:r w:rsidR="0090680E" w:rsidRPr="0090680E">
              <w:rPr>
                <w:b/>
                <w:bCs/>
              </w:rPr>
              <w:t>redacted</w:t>
            </w:r>
          </w:p>
        </w:tc>
        <w:tc>
          <w:tcPr>
            <w:tcW w:w="1137" w:type="dxa"/>
            <w:vAlign w:val="center"/>
          </w:tcPr>
          <w:p w14:paraId="50B9C172" w14:textId="77777777" w:rsidR="00DE1BBD" w:rsidRPr="004D70F4" w:rsidRDefault="00DE1BBD" w:rsidP="00583870">
            <w:pPr>
              <w:pStyle w:val="TableText"/>
              <w:jc w:val="center"/>
              <w:rPr>
                <w:i/>
                <w:iCs/>
              </w:rPr>
            </w:pPr>
            <w:r w:rsidRPr="004D70F4">
              <w:rPr>
                <w:i/>
                <w:iCs/>
              </w:rPr>
              <w:t>0.880</w:t>
            </w:r>
          </w:p>
        </w:tc>
        <w:tc>
          <w:tcPr>
            <w:tcW w:w="992" w:type="dxa"/>
            <w:vAlign w:val="center"/>
          </w:tcPr>
          <w:p w14:paraId="013F1074" w14:textId="5BABDE93" w:rsidR="00DE1BBD" w:rsidRPr="004D70F4" w:rsidRDefault="00DE1BBD" w:rsidP="00583870">
            <w:pPr>
              <w:pStyle w:val="TableText"/>
              <w:jc w:val="center"/>
              <w:rPr>
                <w:i/>
                <w:iCs/>
                <w:szCs w:val="20"/>
              </w:rPr>
            </w:pPr>
            <w:r w:rsidRPr="004D70F4">
              <w:rPr>
                <w:i/>
                <w:iCs/>
                <w:szCs w:val="20"/>
              </w:rPr>
              <w:t>$</w:t>
            </w:r>
            <w:r w:rsidR="0090680E" w:rsidRPr="0090680E">
              <w:rPr>
                <w:b/>
                <w:bCs/>
              </w:rPr>
              <w:t>redacted</w:t>
            </w:r>
            <w:r w:rsidR="006637B0" w:rsidRPr="0090680E">
              <w:rPr>
                <w:vertAlign w:val="superscript"/>
              </w:rPr>
              <w:t>2</w:t>
            </w:r>
          </w:p>
        </w:tc>
        <w:tc>
          <w:tcPr>
            <w:tcW w:w="851" w:type="dxa"/>
            <w:vAlign w:val="center"/>
          </w:tcPr>
          <w:p w14:paraId="6B66E40A" w14:textId="6B868511" w:rsidR="00DE1BBD" w:rsidRPr="0090680E" w:rsidRDefault="0090680E" w:rsidP="11FAFD31">
            <w:pPr>
              <w:pStyle w:val="TableText"/>
              <w:jc w:val="center"/>
              <w:rPr>
                <w:i/>
                <w:iCs/>
              </w:rPr>
            </w:pPr>
            <w:r w:rsidRPr="0090680E">
              <w:rPr>
                <w:b/>
                <w:bCs/>
                <w:i/>
                <w:iCs/>
                <w:color w:val="000000"/>
              </w:rPr>
              <w:t>redacted</w:t>
            </w:r>
            <w:r w:rsidR="00DE1BBD" w:rsidRPr="0090680E">
              <w:rPr>
                <w:i/>
                <w:iCs/>
                <w:color w:val="000000"/>
              </w:rPr>
              <w:t>%</w:t>
            </w:r>
          </w:p>
        </w:tc>
      </w:tr>
    </w:tbl>
    <w:p w14:paraId="7C3FD7AF" w14:textId="77777777" w:rsidR="00DE1BBD" w:rsidRPr="004D70F4" w:rsidRDefault="00DE1BBD" w:rsidP="00DE1BBD">
      <w:pPr>
        <w:pStyle w:val="FooterTableFigure"/>
      </w:pPr>
      <w:r w:rsidRPr="004D70F4">
        <w:t xml:space="preserve">Source: Table 3.33p 151 0f the submission. </w:t>
      </w:r>
    </w:p>
    <w:p w14:paraId="38425FA4" w14:textId="77777777" w:rsidR="00DE1BBD" w:rsidRPr="004D70F4" w:rsidRDefault="00DE1BBD" w:rsidP="00DE1BBD">
      <w:pPr>
        <w:pStyle w:val="FooterTableFigure"/>
      </w:pPr>
      <w:r w:rsidRPr="004D70F4">
        <w:t xml:space="preserve">BC = base case; DCO = data cutoff; eBC = early breast cancer; ICER = incremental cost effectiveness ratio; OS = overall survival; PD = progressed </w:t>
      </w:r>
      <w:r w:rsidRPr="00B57D6E">
        <w:t>disease</w:t>
      </w:r>
      <w:r w:rsidRPr="004D70F4">
        <w:t xml:space="preserve"> PFS1 = progression free survival 1: PFS2 = progression free survival 2; QALY = quality adjusted life year</w:t>
      </w:r>
    </w:p>
    <w:p w14:paraId="646F3EDF" w14:textId="04EC4D92" w:rsidR="00DE1BBD" w:rsidRDefault="00DE1BBD" w:rsidP="00DE1BBD">
      <w:pPr>
        <w:pStyle w:val="FooterTableFigure"/>
      </w:pPr>
      <w:r w:rsidRPr="00B57D6E">
        <w:t xml:space="preserve">a </w:t>
      </w:r>
      <w:r w:rsidRPr="001C16E8">
        <w:t>Assuming</w:t>
      </w:r>
      <w:r w:rsidRPr="0090680E">
        <w:t xml:space="preserve"> 5</w:t>
      </w:r>
      <w:r w:rsidRPr="001C16E8">
        <w:t>% prevalence (</w:t>
      </w:r>
      <w:r w:rsidRPr="0090680E">
        <w:t>20 tests</w:t>
      </w:r>
      <w:r w:rsidRPr="001C16E8">
        <w:t xml:space="preserve"> per patient treated) for HR+ mBC and </w:t>
      </w:r>
      <w:r w:rsidRPr="0090680E">
        <w:t>13.25% prevalence (7.5 tests</w:t>
      </w:r>
      <w:r w:rsidRPr="001C16E8">
        <w:t xml:space="preserve"> per patient treated) for TNBC, and </w:t>
      </w:r>
      <w:r w:rsidRPr="0090680E">
        <w:t>13 tests</w:t>
      </w:r>
      <w:r w:rsidRPr="001C16E8">
        <w:t xml:space="preserve"> (weighted prevalence based on</w:t>
      </w:r>
      <w:r w:rsidRPr="0090680E">
        <w:t xml:space="preserve"> 8%</w:t>
      </w:r>
      <w:r w:rsidRPr="001C16E8">
        <w:t xml:space="preserve"> HR+ mBC and</w:t>
      </w:r>
      <w:r w:rsidRPr="0090680E">
        <w:t xml:space="preserve"> 10%</w:t>
      </w:r>
      <w:r w:rsidRPr="001C16E8">
        <w:t xml:space="preserve"> TNBC</w:t>
      </w:r>
      <w:r w:rsidRPr="00B57D6E">
        <w:t xml:space="preserve"> as assumed for </w:t>
      </w:r>
      <w:r w:rsidRPr="0066027B">
        <w:rPr>
          <w:i/>
          <w:iCs/>
        </w:rPr>
        <w:t>de novo</w:t>
      </w:r>
      <w:r w:rsidRPr="00B57D6E">
        <w:t xml:space="preserve"> mBC patients) for patients who progressed from eBC. </w:t>
      </w:r>
    </w:p>
    <w:p w14:paraId="0FB17F25" w14:textId="22ABCAF3" w:rsidR="0065202C" w:rsidRPr="003B3240" w:rsidRDefault="0065202C" w:rsidP="0065202C">
      <w:pPr>
        <w:pStyle w:val="FooterTableFigure"/>
        <w:keepNext/>
        <w:keepLines/>
        <w:rPr>
          <w:i/>
          <w:iCs/>
        </w:rPr>
      </w:pPr>
      <w:r w:rsidRPr="003B3240">
        <w:rPr>
          <w:i/>
          <w:iCs/>
        </w:rPr>
        <w:t xml:space="preserve">The </w:t>
      </w:r>
      <w:r w:rsidR="0090680E" w:rsidRPr="0090680E">
        <w:rPr>
          <w:b/>
          <w:bCs/>
          <w:i/>
          <w:iCs/>
        </w:rPr>
        <w:t>redacted</w:t>
      </w:r>
      <w:r w:rsidRPr="003B3240">
        <w:rPr>
          <w:i/>
          <w:iCs/>
        </w:rPr>
        <w:t xml:space="preserve"> values correspond to the following ranges</w:t>
      </w:r>
    </w:p>
    <w:p w14:paraId="55EF1294" w14:textId="00E621C0" w:rsidR="0065202C" w:rsidRPr="003B3240" w:rsidRDefault="0065202C" w:rsidP="0065202C">
      <w:pPr>
        <w:pStyle w:val="FooterTableFigure"/>
        <w:rPr>
          <w:i/>
          <w:iCs/>
        </w:rPr>
      </w:pPr>
      <w:r w:rsidRPr="003B3240">
        <w:rPr>
          <w:i/>
          <w:iCs/>
          <w:vertAlign w:val="superscript"/>
        </w:rPr>
        <w:t>1</w:t>
      </w:r>
      <w:r w:rsidRPr="003B3240">
        <w:rPr>
          <w:i/>
          <w:iCs/>
        </w:rPr>
        <w:t>$45,000 to &lt; $55,000</w:t>
      </w:r>
    </w:p>
    <w:p w14:paraId="488B8E6F" w14:textId="3BE2A1A9" w:rsidR="0065202C" w:rsidRPr="00F55099" w:rsidRDefault="006637B0" w:rsidP="00F55099">
      <w:pPr>
        <w:pStyle w:val="FooterTableFigure"/>
        <w:spacing w:after="240"/>
        <w:contextualSpacing w:val="0"/>
        <w:rPr>
          <w:i/>
          <w:iCs/>
        </w:rPr>
      </w:pPr>
      <w:r>
        <w:rPr>
          <w:i/>
          <w:iCs/>
          <w:vertAlign w:val="superscript"/>
        </w:rPr>
        <w:t>2</w:t>
      </w:r>
      <w:r w:rsidR="0065202C" w:rsidRPr="003B3240">
        <w:rPr>
          <w:i/>
          <w:iCs/>
        </w:rPr>
        <w:t>$55,000 to &lt; $75,000</w:t>
      </w:r>
    </w:p>
    <w:p w14:paraId="383DA787" w14:textId="7731FB1F" w:rsidR="00DE1BBD" w:rsidRPr="004D70F4" w:rsidRDefault="00DE1BBD" w:rsidP="00DE1BBD">
      <w:r w:rsidRPr="00DE1BBD">
        <w:t>Overall, the</w:t>
      </w:r>
      <w:r>
        <w:t xml:space="preserve"> commentary considered that the </w:t>
      </w:r>
      <w:r w:rsidRPr="00DE1BBD">
        <w:t xml:space="preserve">subgroup model was not sensitive to most of the inputs selected by the submission. </w:t>
      </w:r>
    </w:p>
    <w:p w14:paraId="3050B039" w14:textId="77777777" w:rsidR="00DE1BBD" w:rsidRPr="00B5245C" w:rsidRDefault="00DE1BBD" w:rsidP="00DE1BBD">
      <w:r w:rsidRPr="004D70F4">
        <w:t xml:space="preserve">During the evaluation, shorter time horizons were selected to be consistent with some of the recent models considered by the PBAC in </w:t>
      </w:r>
      <w:r>
        <w:t>breast cancer</w:t>
      </w:r>
      <w:r w:rsidRPr="004D70F4">
        <w:t>. As expected, a shorter time horizon increased the ICER, but substantial increases in the ICER were only observed by halving the time horizon from 10 to 5 years. The use of a shorter time horizon could be reasonable depending on the expected place in treatment of olaparib, which remains uncertain. Should olaparib be positioned after pembrolizumab plus chemotherapy in TNBC, for example, a shorter time horizon may be appropriate.</w:t>
      </w:r>
      <w:r>
        <w:t xml:space="preserve"> </w:t>
      </w:r>
    </w:p>
    <w:p w14:paraId="304A1488" w14:textId="339583CD" w:rsidR="00DE1BBD" w:rsidRPr="00C811C0" w:rsidRDefault="00DE1BBD" w:rsidP="00C811C0">
      <w:r>
        <w:lastRenderedPageBreak/>
        <w:t xml:space="preserve">Given that </w:t>
      </w:r>
      <w:r w:rsidRPr="00E72DD7">
        <w:t xml:space="preserve">patients will not be assessed for progression as frequently in clinical practice </w:t>
      </w:r>
      <w:r>
        <w:t xml:space="preserve">than in the clinical trial setting </w:t>
      </w:r>
      <w:r w:rsidRPr="00E72DD7">
        <w:t>and may remain on treatment for longer</w:t>
      </w:r>
      <w:r>
        <w:t>, a sensitivity analysis using mean time spent in PFS1 to inform treatment duration was conducted</w:t>
      </w:r>
      <w:r w:rsidRPr="00E72DD7">
        <w:t>.</w:t>
      </w:r>
      <w:r>
        <w:t xml:space="preserve"> The subgroup model was only slightly sensitive to this change (</w:t>
      </w:r>
      <w:r w:rsidR="0090680E" w:rsidRPr="0090680E">
        <w:rPr>
          <w:b/>
          <w:bCs/>
        </w:rPr>
        <w:t>redacted</w:t>
      </w:r>
      <w:r>
        <w:t>%).</w:t>
      </w:r>
    </w:p>
    <w:p w14:paraId="2E077C9E" w14:textId="6A137074" w:rsidR="00DE1BBD" w:rsidRPr="00C811C0" w:rsidRDefault="00DE1BBD" w:rsidP="0066027B">
      <w:pPr>
        <w:pStyle w:val="Caption"/>
        <w:rPr>
          <w:rStyle w:val="CommentReference"/>
          <w:rFonts w:ascii="Franklin Gothic Book" w:eastAsiaTheme="minorHAnsi" w:hAnsi="Franklin Gothic Book" w:cstheme="minorBidi"/>
          <w:b w:val="0"/>
          <w:bCs w:val="0"/>
          <w:sz w:val="20"/>
          <w:szCs w:val="20"/>
        </w:rPr>
      </w:pPr>
      <w:bookmarkStart w:id="41" w:name="_Ref164728203"/>
      <w:r w:rsidRPr="00C811C0">
        <w:t xml:space="preserve">Table </w:t>
      </w:r>
      <w:r w:rsidR="008F6B43">
        <w:fldChar w:fldCharType="begin"/>
      </w:r>
      <w:r w:rsidR="008F6B43">
        <w:instrText xml:space="preserve"> SEQ Table \* ARABIC </w:instrText>
      </w:r>
      <w:r w:rsidR="008F6B43">
        <w:fldChar w:fldCharType="separate"/>
      </w:r>
      <w:r w:rsidR="00325DE1">
        <w:rPr>
          <w:noProof/>
        </w:rPr>
        <w:t>14</w:t>
      </w:r>
      <w:r w:rsidR="008F6B43">
        <w:rPr>
          <w:noProof/>
        </w:rPr>
        <w:fldChar w:fldCharType="end"/>
      </w:r>
      <w:bookmarkEnd w:id="41"/>
      <w:r w:rsidR="00E14AF7">
        <w:rPr>
          <w:rStyle w:val="CommentReference"/>
          <w:sz w:val="20"/>
          <w:szCs w:val="20"/>
        </w:rPr>
        <w:tab/>
      </w:r>
      <w:r w:rsidRPr="00C811C0">
        <w:rPr>
          <w:rStyle w:val="CommentReference"/>
          <w:sz w:val="20"/>
          <w:szCs w:val="20"/>
        </w:rPr>
        <w:t>Results of key sensitivity analyses in the ITT model</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1493"/>
        <w:gridCol w:w="1137"/>
        <w:gridCol w:w="1507"/>
        <w:gridCol w:w="1183"/>
      </w:tblGrid>
      <w:tr w:rsidR="00DE1BBD" w:rsidRPr="004D70F4" w14:paraId="79419E1B" w14:textId="77777777" w:rsidTr="000A6850">
        <w:trPr>
          <w:tblHeader/>
        </w:trPr>
        <w:tc>
          <w:tcPr>
            <w:tcW w:w="3889" w:type="dxa"/>
          </w:tcPr>
          <w:p w14:paraId="70448214" w14:textId="77777777" w:rsidR="00DE1BBD" w:rsidRPr="004D70F4" w:rsidRDefault="00DE1BBD" w:rsidP="00D07441">
            <w:pPr>
              <w:pStyle w:val="In-tableHeading"/>
              <w:rPr>
                <w:lang w:val="en-AU"/>
              </w:rPr>
            </w:pPr>
            <w:r w:rsidRPr="004D70F4">
              <w:rPr>
                <w:lang w:val="en-AU"/>
              </w:rPr>
              <w:t>Analyses</w:t>
            </w:r>
          </w:p>
        </w:tc>
        <w:tc>
          <w:tcPr>
            <w:tcW w:w="1493" w:type="dxa"/>
            <w:vAlign w:val="center"/>
          </w:tcPr>
          <w:p w14:paraId="0F3F1A73" w14:textId="77777777" w:rsidR="00DE1BBD" w:rsidRPr="004D70F4" w:rsidRDefault="00DE1BBD" w:rsidP="00D07441">
            <w:pPr>
              <w:pStyle w:val="In-tableHeading"/>
              <w:jc w:val="center"/>
              <w:rPr>
                <w:lang w:val="en-AU"/>
              </w:rPr>
            </w:pPr>
            <w:r w:rsidRPr="004D70F4">
              <w:rPr>
                <w:lang w:val="en-AU"/>
              </w:rPr>
              <w:t>Incremental cost</w:t>
            </w:r>
          </w:p>
        </w:tc>
        <w:tc>
          <w:tcPr>
            <w:tcW w:w="1137" w:type="dxa"/>
            <w:vAlign w:val="center"/>
          </w:tcPr>
          <w:p w14:paraId="02E677E3" w14:textId="77777777" w:rsidR="00DE1BBD" w:rsidRPr="004D70F4" w:rsidRDefault="00DE1BBD" w:rsidP="00D07441">
            <w:pPr>
              <w:pStyle w:val="In-tableHeading"/>
              <w:jc w:val="center"/>
              <w:rPr>
                <w:lang w:val="en-AU"/>
              </w:rPr>
            </w:pPr>
            <w:r w:rsidRPr="004D70F4">
              <w:rPr>
                <w:lang w:val="en-AU"/>
              </w:rPr>
              <w:t>Incremental QALY</w:t>
            </w:r>
          </w:p>
        </w:tc>
        <w:tc>
          <w:tcPr>
            <w:tcW w:w="1507" w:type="dxa"/>
            <w:vAlign w:val="center"/>
          </w:tcPr>
          <w:p w14:paraId="5E91E53A" w14:textId="77777777" w:rsidR="00DE1BBD" w:rsidRPr="004D70F4" w:rsidRDefault="00DE1BBD" w:rsidP="00D07441">
            <w:pPr>
              <w:pStyle w:val="In-tableHeading"/>
              <w:jc w:val="center"/>
              <w:rPr>
                <w:lang w:val="en-AU"/>
              </w:rPr>
            </w:pPr>
            <w:r w:rsidRPr="004D70F4">
              <w:rPr>
                <w:lang w:val="en-AU"/>
              </w:rPr>
              <w:t>ICER</w:t>
            </w:r>
          </w:p>
        </w:tc>
        <w:tc>
          <w:tcPr>
            <w:tcW w:w="1183" w:type="dxa"/>
            <w:vAlign w:val="center"/>
          </w:tcPr>
          <w:p w14:paraId="1E13D0E5" w14:textId="77777777" w:rsidR="00DE1BBD" w:rsidRPr="004D70F4" w:rsidRDefault="00DE1BBD" w:rsidP="00D07441">
            <w:pPr>
              <w:pStyle w:val="In-tableHeading"/>
              <w:jc w:val="center"/>
              <w:rPr>
                <w:i/>
                <w:iCs/>
                <w:lang w:val="en-AU"/>
              </w:rPr>
            </w:pPr>
            <w:r w:rsidRPr="004D70F4">
              <w:rPr>
                <w:i/>
                <w:iCs/>
                <w:lang w:val="en-AU"/>
              </w:rPr>
              <w:t>% Change</w:t>
            </w:r>
          </w:p>
        </w:tc>
      </w:tr>
      <w:tr w:rsidR="00DE1BBD" w:rsidRPr="004D70F4" w14:paraId="61131068" w14:textId="77777777" w:rsidTr="000A6850">
        <w:tc>
          <w:tcPr>
            <w:tcW w:w="3889" w:type="dxa"/>
            <w:tcBorders>
              <w:bottom w:val="single" w:sz="4" w:space="0" w:color="auto"/>
            </w:tcBorders>
          </w:tcPr>
          <w:p w14:paraId="655B657F" w14:textId="77777777" w:rsidR="00DE1BBD" w:rsidRPr="004D70F4" w:rsidRDefault="00DE1BBD" w:rsidP="00D07441">
            <w:pPr>
              <w:pStyle w:val="TableText"/>
              <w:spacing w:before="0" w:after="0"/>
              <w:rPr>
                <w:b/>
              </w:rPr>
            </w:pPr>
            <w:r w:rsidRPr="004D70F4">
              <w:rPr>
                <w:b/>
              </w:rPr>
              <w:t>Base case</w:t>
            </w:r>
          </w:p>
        </w:tc>
        <w:tc>
          <w:tcPr>
            <w:tcW w:w="1493" w:type="dxa"/>
            <w:tcBorders>
              <w:bottom w:val="single" w:sz="4" w:space="0" w:color="auto"/>
            </w:tcBorders>
            <w:vAlign w:val="center"/>
          </w:tcPr>
          <w:p w14:paraId="7E51A45B" w14:textId="09EE19CE" w:rsidR="00DE1BBD" w:rsidRPr="0090680E" w:rsidRDefault="00DE1BBD" w:rsidP="00D07441">
            <w:pPr>
              <w:pStyle w:val="TableText"/>
              <w:spacing w:before="0" w:after="0"/>
              <w:jc w:val="center"/>
              <w:rPr>
                <w:b/>
                <w:bCs/>
                <w:vertAlign w:val="superscript"/>
              </w:rPr>
            </w:pPr>
            <w:r w:rsidRPr="001E0104">
              <w:rPr>
                <w:b/>
              </w:rPr>
              <w:t>$</w:t>
            </w:r>
            <w:r w:rsidR="0090680E" w:rsidRPr="0090680E">
              <w:rPr>
                <w:b/>
                <w:bCs/>
              </w:rPr>
              <w:t>redacted</w:t>
            </w:r>
          </w:p>
        </w:tc>
        <w:tc>
          <w:tcPr>
            <w:tcW w:w="1137" w:type="dxa"/>
            <w:tcBorders>
              <w:bottom w:val="single" w:sz="4" w:space="0" w:color="auto"/>
            </w:tcBorders>
            <w:vAlign w:val="center"/>
          </w:tcPr>
          <w:p w14:paraId="1D1B347E" w14:textId="77777777" w:rsidR="00DE1BBD" w:rsidRPr="004D70F4" w:rsidRDefault="00DE1BBD" w:rsidP="00D07441">
            <w:pPr>
              <w:pStyle w:val="TableText"/>
              <w:spacing w:before="0" w:after="0"/>
              <w:jc w:val="center"/>
              <w:rPr>
                <w:b/>
              </w:rPr>
            </w:pPr>
            <w:r w:rsidRPr="004D70F4">
              <w:rPr>
                <w:b/>
              </w:rPr>
              <w:t>0.383</w:t>
            </w:r>
          </w:p>
        </w:tc>
        <w:tc>
          <w:tcPr>
            <w:tcW w:w="1507" w:type="dxa"/>
            <w:tcBorders>
              <w:bottom w:val="single" w:sz="4" w:space="0" w:color="auto"/>
            </w:tcBorders>
            <w:vAlign w:val="center"/>
          </w:tcPr>
          <w:p w14:paraId="37B97BCC" w14:textId="0E60AE82" w:rsidR="00DE1BBD" w:rsidRPr="004D70F4" w:rsidRDefault="00DE1BBD" w:rsidP="00D07441">
            <w:pPr>
              <w:pStyle w:val="TableText"/>
              <w:spacing w:before="0" w:after="0"/>
              <w:jc w:val="center"/>
              <w:rPr>
                <w:b/>
              </w:rPr>
            </w:pPr>
            <w:r w:rsidRPr="004D70F4">
              <w:rPr>
                <w:b/>
              </w:rPr>
              <w:t>$</w:t>
            </w:r>
            <w:r w:rsidR="0090680E" w:rsidRPr="0090680E">
              <w:rPr>
                <w:b/>
                <w:bCs/>
              </w:rPr>
              <w:t>redacted</w:t>
            </w:r>
            <w:r w:rsidR="0035562A" w:rsidRPr="0090680E">
              <w:rPr>
                <w:b/>
                <w:bCs/>
                <w:vertAlign w:val="superscript"/>
              </w:rPr>
              <w:t>3</w:t>
            </w:r>
          </w:p>
        </w:tc>
        <w:tc>
          <w:tcPr>
            <w:tcW w:w="1183" w:type="dxa"/>
            <w:tcBorders>
              <w:bottom w:val="single" w:sz="4" w:space="0" w:color="auto"/>
            </w:tcBorders>
            <w:vAlign w:val="center"/>
          </w:tcPr>
          <w:p w14:paraId="61CF1986" w14:textId="22B9AF28" w:rsidR="00DE1BBD" w:rsidRPr="004D70F4" w:rsidRDefault="00BB4331" w:rsidP="00D07441">
            <w:pPr>
              <w:pStyle w:val="TableText"/>
              <w:spacing w:before="0" w:after="0"/>
              <w:jc w:val="center"/>
              <w:rPr>
                <w:b/>
                <w:i/>
                <w:iCs/>
              </w:rPr>
            </w:pPr>
            <w:r>
              <w:rPr>
                <w:b/>
                <w:i/>
                <w:iCs/>
              </w:rPr>
              <w:t>–</w:t>
            </w:r>
          </w:p>
        </w:tc>
      </w:tr>
      <w:tr w:rsidR="00DE1BBD" w:rsidRPr="004D70F4" w14:paraId="1B976AAC" w14:textId="77777777" w:rsidTr="000A6850">
        <w:tc>
          <w:tcPr>
            <w:tcW w:w="3889" w:type="dxa"/>
            <w:tcBorders>
              <w:right w:val="nil"/>
            </w:tcBorders>
          </w:tcPr>
          <w:p w14:paraId="336940BF" w14:textId="77777777" w:rsidR="00DE1BBD" w:rsidRPr="004D70F4" w:rsidRDefault="00DE1BBD" w:rsidP="00D07441">
            <w:pPr>
              <w:pStyle w:val="TableText"/>
              <w:spacing w:before="0" w:after="0"/>
            </w:pPr>
            <w:r w:rsidRPr="004D70F4">
              <w:t>Discounting rate (5% in BC)</w:t>
            </w:r>
          </w:p>
        </w:tc>
        <w:tc>
          <w:tcPr>
            <w:tcW w:w="1493" w:type="dxa"/>
            <w:tcBorders>
              <w:left w:val="nil"/>
              <w:right w:val="nil"/>
            </w:tcBorders>
            <w:vAlign w:val="center"/>
          </w:tcPr>
          <w:p w14:paraId="67E5A67E" w14:textId="77777777" w:rsidR="00DE1BBD" w:rsidRPr="004D70F4" w:rsidRDefault="00DE1BBD" w:rsidP="00D07441">
            <w:pPr>
              <w:pStyle w:val="TableText"/>
              <w:spacing w:before="0" w:after="0"/>
              <w:jc w:val="center"/>
              <w:rPr>
                <w:i/>
                <w:iCs/>
              </w:rPr>
            </w:pPr>
          </w:p>
        </w:tc>
        <w:tc>
          <w:tcPr>
            <w:tcW w:w="1137" w:type="dxa"/>
            <w:tcBorders>
              <w:left w:val="nil"/>
              <w:right w:val="nil"/>
            </w:tcBorders>
            <w:vAlign w:val="center"/>
          </w:tcPr>
          <w:p w14:paraId="70311812" w14:textId="77777777" w:rsidR="00DE1BBD" w:rsidRPr="004D70F4" w:rsidRDefault="00DE1BBD" w:rsidP="00D07441">
            <w:pPr>
              <w:pStyle w:val="TableText"/>
              <w:spacing w:before="0" w:after="0"/>
              <w:jc w:val="center"/>
              <w:rPr>
                <w:i/>
                <w:iCs/>
              </w:rPr>
            </w:pPr>
          </w:p>
        </w:tc>
        <w:tc>
          <w:tcPr>
            <w:tcW w:w="1507" w:type="dxa"/>
            <w:tcBorders>
              <w:left w:val="nil"/>
              <w:right w:val="nil"/>
            </w:tcBorders>
            <w:vAlign w:val="center"/>
          </w:tcPr>
          <w:p w14:paraId="267564C0" w14:textId="77777777" w:rsidR="00DE1BBD" w:rsidRPr="004D70F4" w:rsidRDefault="00DE1BBD" w:rsidP="00D07441">
            <w:pPr>
              <w:pStyle w:val="TableText"/>
              <w:spacing w:before="0" w:after="0"/>
              <w:jc w:val="center"/>
            </w:pPr>
          </w:p>
        </w:tc>
        <w:tc>
          <w:tcPr>
            <w:tcW w:w="1183" w:type="dxa"/>
            <w:tcBorders>
              <w:left w:val="nil"/>
            </w:tcBorders>
            <w:vAlign w:val="center"/>
          </w:tcPr>
          <w:p w14:paraId="00A6D71F" w14:textId="77777777" w:rsidR="00DE1BBD" w:rsidRPr="004D70F4" w:rsidRDefault="00DE1BBD" w:rsidP="00D07441">
            <w:pPr>
              <w:pStyle w:val="TableText"/>
              <w:spacing w:before="0" w:after="0"/>
              <w:jc w:val="center"/>
              <w:rPr>
                <w:i/>
                <w:iCs/>
              </w:rPr>
            </w:pPr>
          </w:p>
        </w:tc>
      </w:tr>
      <w:tr w:rsidR="00DE1BBD" w:rsidRPr="004D70F4" w14:paraId="2C9D6B1A" w14:textId="77777777" w:rsidTr="0090680E">
        <w:tc>
          <w:tcPr>
            <w:tcW w:w="3889" w:type="dxa"/>
            <w:tcBorders>
              <w:bottom w:val="single" w:sz="4" w:space="0" w:color="auto"/>
            </w:tcBorders>
          </w:tcPr>
          <w:p w14:paraId="1AE41AFC" w14:textId="77777777" w:rsidR="00DE1BBD" w:rsidRPr="004D70F4" w:rsidRDefault="00DE1BBD" w:rsidP="00D07441">
            <w:pPr>
              <w:pStyle w:val="TableText"/>
              <w:spacing w:before="0" w:after="0"/>
            </w:pPr>
            <w:r w:rsidRPr="004D70F4">
              <w:t>0%</w:t>
            </w:r>
          </w:p>
        </w:tc>
        <w:tc>
          <w:tcPr>
            <w:tcW w:w="1493" w:type="dxa"/>
            <w:tcBorders>
              <w:bottom w:val="single" w:sz="4" w:space="0" w:color="auto"/>
            </w:tcBorders>
            <w:vAlign w:val="center"/>
          </w:tcPr>
          <w:p w14:paraId="3BEBF400" w14:textId="2E136D52" w:rsidR="00DE1BBD" w:rsidRPr="004D70F4" w:rsidRDefault="00DE1BBD" w:rsidP="00D07441">
            <w:pPr>
              <w:pStyle w:val="TableText"/>
              <w:spacing w:before="0" w:after="0"/>
              <w:jc w:val="center"/>
              <w:rPr>
                <w:i/>
                <w:iCs/>
              </w:rPr>
            </w:pPr>
            <w:r w:rsidRPr="004D70F4">
              <w:rPr>
                <w:i/>
                <w:iCs/>
              </w:rPr>
              <w:t>$</w:t>
            </w:r>
            <w:r w:rsidR="0090680E" w:rsidRPr="0090680E">
              <w:rPr>
                <w:b/>
                <w:bCs/>
              </w:rPr>
              <w:t>redacted</w:t>
            </w:r>
          </w:p>
        </w:tc>
        <w:tc>
          <w:tcPr>
            <w:tcW w:w="1137" w:type="dxa"/>
            <w:tcBorders>
              <w:bottom w:val="single" w:sz="4" w:space="0" w:color="auto"/>
            </w:tcBorders>
            <w:vAlign w:val="center"/>
          </w:tcPr>
          <w:p w14:paraId="65FC79E7" w14:textId="77777777" w:rsidR="00DE1BBD" w:rsidRPr="004D70F4" w:rsidRDefault="00DE1BBD" w:rsidP="00D07441">
            <w:pPr>
              <w:pStyle w:val="TableText"/>
              <w:spacing w:before="0" w:after="0"/>
              <w:jc w:val="center"/>
              <w:rPr>
                <w:i/>
                <w:iCs/>
              </w:rPr>
            </w:pPr>
            <w:r w:rsidRPr="004D70F4">
              <w:rPr>
                <w:i/>
                <w:iCs/>
              </w:rPr>
              <w:t>0.439</w:t>
            </w:r>
          </w:p>
        </w:tc>
        <w:tc>
          <w:tcPr>
            <w:tcW w:w="1507" w:type="dxa"/>
            <w:tcBorders>
              <w:bottom w:val="single" w:sz="4" w:space="0" w:color="auto"/>
            </w:tcBorders>
            <w:vAlign w:val="center"/>
          </w:tcPr>
          <w:p w14:paraId="21DD899B" w14:textId="3A55B031" w:rsidR="00DE1BBD" w:rsidRPr="0090680E" w:rsidRDefault="00DE1BBD" w:rsidP="00D07441">
            <w:pPr>
              <w:pStyle w:val="TableText"/>
              <w:spacing w:before="0" w:after="0"/>
              <w:jc w:val="center"/>
              <w:rPr>
                <w:vertAlign w:val="superscript"/>
              </w:rPr>
            </w:pPr>
            <w:r w:rsidRPr="004D70F4">
              <w:t>$</w:t>
            </w:r>
            <w:r w:rsidR="0090680E" w:rsidRPr="0090680E">
              <w:rPr>
                <w:b/>
                <w:bCs/>
              </w:rPr>
              <w:t>redacted</w:t>
            </w:r>
            <w:r w:rsidR="0035562A" w:rsidRPr="0090680E">
              <w:rPr>
                <w:vertAlign w:val="superscript"/>
              </w:rPr>
              <w:t>2</w:t>
            </w:r>
          </w:p>
        </w:tc>
        <w:tc>
          <w:tcPr>
            <w:tcW w:w="1183" w:type="dxa"/>
            <w:tcBorders>
              <w:bottom w:val="single" w:sz="4" w:space="0" w:color="auto"/>
            </w:tcBorders>
            <w:shd w:val="clear" w:color="auto" w:fill="auto"/>
            <w:vAlign w:val="center"/>
          </w:tcPr>
          <w:p w14:paraId="4AF4CE5C" w14:textId="045513A2" w:rsidR="00DE1BBD" w:rsidRPr="00C37DD7" w:rsidRDefault="0090680E" w:rsidP="00D07441">
            <w:pPr>
              <w:pStyle w:val="TableText"/>
              <w:spacing w:before="0" w:after="0"/>
              <w:jc w:val="center"/>
              <w:rPr>
                <w:i/>
                <w:iCs/>
              </w:rPr>
            </w:pPr>
            <w:r w:rsidRPr="0090680E">
              <w:rPr>
                <w:b/>
                <w:bCs/>
                <w:i/>
                <w:iCs/>
                <w:color w:val="000000"/>
              </w:rPr>
              <w:t>redacted</w:t>
            </w:r>
          </w:p>
        </w:tc>
      </w:tr>
      <w:tr w:rsidR="00DE1BBD" w:rsidRPr="004D70F4" w14:paraId="6D7DDC7C" w14:textId="77777777" w:rsidTr="0090680E">
        <w:tc>
          <w:tcPr>
            <w:tcW w:w="3889" w:type="dxa"/>
            <w:tcBorders>
              <w:right w:val="nil"/>
            </w:tcBorders>
          </w:tcPr>
          <w:p w14:paraId="2E228975" w14:textId="77777777" w:rsidR="00DE1BBD" w:rsidRPr="004D70F4" w:rsidRDefault="00DE1BBD" w:rsidP="00D07441">
            <w:pPr>
              <w:pStyle w:val="TableText"/>
              <w:spacing w:before="0" w:after="0"/>
            </w:pPr>
            <w:r w:rsidRPr="004D70F4">
              <w:t>Time horizon (10 years in BC)</w:t>
            </w:r>
          </w:p>
        </w:tc>
        <w:tc>
          <w:tcPr>
            <w:tcW w:w="1493" w:type="dxa"/>
            <w:tcBorders>
              <w:left w:val="nil"/>
              <w:right w:val="nil"/>
            </w:tcBorders>
            <w:vAlign w:val="center"/>
          </w:tcPr>
          <w:p w14:paraId="7E000C24" w14:textId="77777777" w:rsidR="00DE1BBD" w:rsidRPr="004D70F4" w:rsidRDefault="00DE1BBD" w:rsidP="00D07441">
            <w:pPr>
              <w:pStyle w:val="TableText"/>
              <w:spacing w:before="0" w:after="0"/>
              <w:jc w:val="center"/>
              <w:rPr>
                <w:i/>
                <w:iCs/>
              </w:rPr>
            </w:pPr>
          </w:p>
        </w:tc>
        <w:tc>
          <w:tcPr>
            <w:tcW w:w="1137" w:type="dxa"/>
            <w:tcBorders>
              <w:left w:val="nil"/>
              <w:right w:val="nil"/>
            </w:tcBorders>
            <w:vAlign w:val="center"/>
          </w:tcPr>
          <w:p w14:paraId="62DEBB96" w14:textId="77777777" w:rsidR="00DE1BBD" w:rsidRPr="004D70F4" w:rsidRDefault="00DE1BBD" w:rsidP="00D07441">
            <w:pPr>
              <w:pStyle w:val="TableText"/>
              <w:spacing w:before="0" w:after="0"/>
              <w:jc w:val="center"/>
              <w:rPr>
                <w:i/>
                <w:iCs/>
              </w:rPr>
            </w:pPr>
          </w:p>
        </w:tc>
        <w:tc>
          <w:tcPr>
            <w:tcW w:w="1507" w:type="dxa"/>
            <w:tcBorders>
              <w:left w:val="nil"/>
              <w:right w:val="nil"/>
            </w:tcBorders>
            <w:vAlign w:val="center"/>
          </w:tcPr>
          <w:p w14:paraId="15CF42BC" w14:textId="77777777" w:rsidR="00DE1BBD" w:rsidRPr="004D70F4" w:rsidRDefault="00DE1BBD" w:rsidP="00D07441">
            <w:pPr>
              <w:pStyle w:val="TableText"/>
              <w:spacing w:before="0" w:after="0"/>
              <w:jc w:val="center"/>
              <w:rPr>
                <w:szCs w:val="20"/>
              </w:rPr>
            </w:pPr>
          </w:p>
        </w:tc>
        <w:tc>
          <w:tcPr>
            <w:tcW w:w="1183" w:type="dxa"/>
            <w:tcBorders>
              <w:left w:val="nil"/>
            </w:tcBorders>
            <w:shd w:val="clear" w:color="auto" w:fill="auto"/>
            <w:vAlign w:val="center"/>
          </w:tcPr>
          <w:p w14:paraId="4B3FE696" w14:textId="77777777" w:rsidR="00DE1BBD" w:rsidRPr="00C37DD7" w:rsidRDefault="00DE1BBD" w:rsidP="00D07441">
            <w:pPr>
              <w:pStyle w:val="TableText"/>
              <w:spacing w:before="0" w:after="0"/>
              <w:jc w:val="center"/>
              <w:rPr>
                <w:i/>
                <w:iCs/>
                <w:szCs w:val="20"/>
              </w:rPr>
            </w:pPr>
          </w:p>
        </w:tc>
      </w:tr>
      <w:tr w:rsidR="00DE1BBD" w:rsidRPr="004D70F4" w14:paraId="76D9A67F" w14:textId="77777777" w:rsidTr="0090680E">
        <w:tc>
          <w:tcPr>
            <w:tcW w:w="3889" w:type="dxa"/>
          </w:tcPr>
          <w:p w14:paraId="108072A4" w14:textId="77777777" w:rsidR="00DE1BBD" w:rsidRPr="004D70F4" w:rsidRDefault="00DE1BBD" w:rsidP="00D07441">
            <w:pPr>
              <w:pStyle w:val="TableText"/>
              <w:spacing w:before="0" w:after="0"/>
            </w:pPr>
            <w:r w:rsidRPr="004D70F4">
              <w:t>15 years</w:t>
            </w:r>
          </w:p>
        </w:tc>
        <w:tc>
          <w:tcPr>
            <w:tcW w:w="1493" w:type="dxa"/>
            <w:vAlign w:val="center"/>
          </w:tcPr>
          <w:p w14:paraId="2ABABF24" w14:textId="4EDEDA6F" w:rsidR="00DE1BBD" w:rsidRPr="0035562A" w:rsidRDefault="00DE1BBD"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59439F71" w14:textId="77777777" w:rsidR="00DE1BBD" w:rsidRPr="004D70F4" w:rsidRDefault="00DE1BBD" w:rsidP="00D07441">
            <w:pPr>
              <w:pStyle w:val="TableText"/>
              <w:spacing w:before="0" w:after="0"/>
              <w:jc w:val="center"/>
              <w:rPr>
                <w:i/>
                <w:iCs/>
              </w:rPr>
            </w:pPr>
            <w:r w:rsidRPr="004D70F4">
              <w:rPr>
                <w:i/>
                <w:iCs/>
              </w:rPr>
              <w:t>0.430</w:t>
            </w:r>
          </w:p>
        </w:tc>
        <w:tc>
          <w:tcPr>
            <w:tcW w:w="1507" w:type="dxa"/>
            <w:vAlign w:val="center"/>
          </w:tcPr>
          <w:p w14:paraId="1248AA50" w14:textId="566EB116" w:rsidR="00DE1BBD" w:rsidRPr="004D70F4" w:rsidRDefault="00DE1BBD" w:rsidP="00D07441">
            <w:pPr>
              <w:pStyle w:val="TableText"/>
              <w:spacing w:before="0" w:after="0"/>
              <w:jc w:val="center"/>
            </w:pPr>
            <w:r w:rsidRPr="004D70F4">
              <w:t>$</w:t>
            </w:r>
            <w:r w:rsidR="0090680E" w:rsidRPr="0090680E">
              <w:rPr>
                <w:b/>
                <w:bCs/>
              </w:rPr>
              <w:t>redacted</w:t>
            </w:r>
            <w:r w:rsidR="0035562A" w:rsidRPr="0090680E">
              <w:rPr>
                <w:vertAlign w:val="superscript"/>
              </w:rPr>
              <w:t>2</w:t>
            </w:r>
          </w:p>
        </w:tc>
        <w:tc>
          <w:tcPr>
            <w:tcW w:w="1183" w:type="dxa"/>
            <w:shd w:val="clear" w:color="auto" w:fill="auto"/>
            <w:vAlign w:val="center"/>
          </w:tcPr>
          <w:p w14:paraId="08BA86FF" w14:textId="6F8C6DE2" w:rsidR="00DE1BBD" w:rsidRPr="00C37DD7" w:rsidRDefault="0090680E" w:rsidP="00D07441">
            <w:pPr>
              <w:pStyle w:val="TableText"/>
              <w:spacing w:before="0" w:after="0"/>
              <w:jc w:val="center"/>
              <w:rPr>
                <w:i/>
                <w:iCs/>
              </w:rPr>
            </w:pPr>
            <w:r w:rsidRPr="0090680E">
              <w:rPr>
                <w:b/>
                <w:bCs/>
                <w:i/>
                <w:iCs/>
                <w:color w:val="000000"/>
              </w:rPr>
              <w:t>redacted</w:t>
            </w:r>
          </w:p>
        </w:tc>
      </w:tr>
      <w:tr w:rsidR="00DE1BBD" w:rsidRPr="004D70F4" w14:paraId="054B90BD" w14:textId="77777777" w:rsidTr="0090680E">
        <w:tc>
          <w:tcPr>
            <w:tcW w:w="3889" w:type="dxa"/>
          </w:tcPr>
          <w:p w14:paraId="16D54961" w14:textId="77777777" w:rsidR="00DE1BBD" w:rsidRPr="004D70F4" w:rsidRDefault="00DE1BBD" w:rsidP="00D07441">
            <w:pPr>
              <w:pStyle w:val="TableText"/>
              <w:spacing w:before="0" w:after="0"/>
              <w:rPr>
                <w:i/>
                <w:iCs/>
              </w:rPr>
            </w:pPr>
            <w:r w:rsidRPr="004D70F4">
              <w:rPr>
                <w:i/>
                <w:iCs/>
              </w:rPr>
              <w:t>7 years</w:t>
            </w:r>
          </w:p>
        </w:tc>
        <w:tc>
          <w:tcPr>
            <w:tcW w:w="1493" w:type="dxa"/>
            <w:shd w:val="clear" w:color="auto" w:fill="auto"/>
            <w:vAlign w:val="center"/>
          </w:tcPr>
          <w:p w14:paraId="0F6CCFA7" w14:textId="79606F95" w:rsidR="00DE1BBD" w:rsidRPr="0035562A" w:rsidRDefault="00DE1BBD"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5C670319" w14:textId="77777777" w:rsidR="00DE1BBD" w:rsidRPr="004D70F4" w:rsidRDefault="00DE1BBD" w:rsidP="00D07441">
            <w:pPr>
              <w:pStyle w:val="TableText"/>
              <w:spacing w:before="0" w:after="0"/>
              <w:jc w:val="center"/>
              <w:rPr>
                <w:i/>
                <w:iCs/>
              </w:rPr>
            </w:pPr>
            <w:r w:rsidRPr="004D70F4">
              <w:rPr>
                <w:i/>
                <w:iCs/>
              </w:rPr>
              <w:t>0.335</w:t>
            </w:r>
          </w:p>
        </w:tc>
        <w:tc>
          <w:tcPr>
            <w:tcW w:w="1507" w:type="dxa"/>
            <w:vAlign w:val="center"/>
          </w:tcPr>
          <w:p w14:paraId="76EEB038" w14:textId="03A5AA55" w:rsidR="00DE1BBD" w:rsidRPr="004D70F4" w:rsidRDefault="00DE1BBD" w:rsidP="00D07441">
            <w:pPr>
              <w:pStyle w:val="TableText"/>
              <w:spacing w:before="0" w:after="0"/>
              <w:jc w:val="center"/>
              <w:rPr>
                <w:i/>
                <w:iCs/>
                <w:szCs w:val="20"/>
              </w:rPr>
            </w:pPr>
            <w:r w:rsidRPr="004D70F4">
              <w:rPr>
                <w:i/>
                <w:iCs/>
                <w:szCs w:val="20"/>
              </w:rPr>
              <w:t>$</w:t>
            </w:r>
            <w:r w:rsidR="0090680E" w:rsidRPr="0090680E">
              <w:rPr>
                <w:b/>
                <w:bCs/>
              </w:rPr>
              <w:t>redacted</w:t>
            </w:r>
            <w:r w:rsidR="0035562A" w:rsidRPr="0090680E">
              <w:rPr>
                <w:vertAlign w:val="superscript"/>
              </w:rPr>
              <w:t>3</w:t>
            </w:r>
          </w:p>
        </w:tc>
        <w:tc>
          <w:tcPr>
            <w:tcW w:w="1183" w:type="dxa"/>
            <w:shd w:val="clear" w:color="auto" w:fill="auto"/>
            <w:vAlign w:val="center"/>
          </w:tcPr>
          <w:p w14:paraId="3DEB41E4" w14:textId="05843475" w:rsidR="00DE1BBD" w:rsidRPr="00C37DD7" w:rsidRDefault="0090680E" w:rsidP="00D07441">
            <w:pPr>
              <w:pStyle w:val="TableText"/>
              <w:spacing w:before="0" w:after="0"/>
              <w:jc w:val="center"/>
              <w:rPr>
                <w:i/>
                <w:iCs/>
              </w:rPr>
            </w:pPr>
            <w:r w:rsidRPr="0090680E">
              <w:rPr>
                <w:b/>
                <w:bCs/>
                <w:i/>
                <w:iCs/>
                <w:color w:val="000000"/>
              </w:rPr>
              <w:t>redacted</w:t>
            </w:r>
          </w:p>
        </w:tc>
      </w:tr>
      <w:tr w:rsidR="00DE1BBD" w:rsidRPr="004D70F4" w14:paraId="3D161F0A" w14:textId="77777777" w:rsidTr="0090680E">
        <w:tc>
          <w:tcPr>
            <w:tcW w:w="3889" w:type="dxa"/>
            <w:tcBorders>
              <w:bottom w:val="single" w:sz="4" w:space="0" w:color="auto"/>
            </w:tcBorders>
          </w:tcPr>
          <w:p w14:paraId="3EFC4C05" w14:textId="77777777" w:rsidR="00DE1BBD" w:rsidRPr="004D70F4" w:rsidRDefault="00DE1BBD" w:rsidP="00D07441">
            <w:pPr>
              <w:pStyle w:val="TableText"/>
              <w:spacing w:before="0" w:after="0"/>
              <w:rPr>
                <w:i/>
                <w:iCs/>
              </w:rPr>
            </w:pPr>
            <w:r w:rsidRPr="004D70F4">
              <w:rPr>
                <w:i/>
                <w:iCs/>
              </w:rPr>
              <w:t>5 years</w:t>
            </w:r>
          </w:p>
        </w:tc>
        <w:tc>
          <w:tcPr>
            <w:tcW w:w="1493" w:type="dxa"/>
            <w:tcBorders>
              <w:bottom w:val="single" w:sz="4" w:space="0" w:color="auto"/>
            </w:tcBorders>
            <w:vAlign w:val="center"/>
          </w:tcPr>
          <w:p w14:paraId="6FFD3FD8" w14:textId="3BDD1B1C" w:rsidR="00DE1BBD" w:rsidRPr="0035562A" w:rsidRDefault="00DE1BBD" w:rsidP="00D07441">
            <w:pPr>
              <w:pStyle w:val="TableText"/>
              <w:spacing w:before="0" w:after="0"/>
              <w:jc w:val="center"/>
              <w:rPr>
                <w:i/>
                <w:iCs/>
              </w:rPr>
            </w:pPr>
            <w:r w:rsidRPr="0035562A">
              <w:rPr>
                <w:i/>
                <w:iCs/>
              </w:rPr>
              <w:t>$</w:t>
            </w:r>
            <w:r w:rsidR="0090680E" w:rsidRPr="0090680E">
              <w:rPr>
                <w:b/>
                <w:bCs/>
              </w:rPr>
              <w:t>redacted</w:t>
            </w:r>
          </w:p>
        </w:tc>
        <w:tc>
          <w:tcPr>
            <w:tcW w:w="1137" w:type="dxa"/>
            <w:tcBorders>
              <w:bottom w:val="single" w:sz="4" w:space="0" w:color="auto"/>
            </w:tcBorders>
            <w:vAlign w:val="center"/>
          </w:tcPr>
          <w:p w14:paraId="61872E1D" w14:textId="77777777" w:rsidR="00DE1BBD" w:rsidRPr="004D70F4" w:rsidRDefault="00DE1BBD" w:rsidP="00D07441">
            <w:pPr>
              <w:pStyle w:val="TableText"/>
              <w:spacing w:before="0" w:after="0"/>
              <w:jc w:val="center"/>
              <w:rPr>
                <w:i/>
                <w:iCs/>
              </w:rPr>
            </w:pPr>
            <w:r w:rsidRPr="004D70F4">
              <w:rPr>
                <w:i/>
                <w:iCs/>
              </w:rPr>
              <w:t>0.293</w:t>
            </w:r>
          </w:p>
        </w:tc>
        <w:tc>
          <w:tcPr>
            <w:tcW w:w="1507" w:type="dxa"/>
            <w:tcBorders>
              <w:bottom w:val="single" w:sz="4" w:space="0" w:color="auto"/>
            </w:tcBorders>
            <w:vAlign w:val="center"/>
          </w:tcPr>
          <w:p w14:paraId="1A00F6EA" w14:textId="2C65DA43" w:rsidR="00DE1BBD" w:rsidRPr="004D70F4" w:rsidRDefault="00DE1BBD" w:rsidP="00D07441">
            <w:pPr>
              <w:pStyle w:val="TableText"/>
              <w:spacing w:before="0" w:after="0"/>
              <w:jc w:val="center"/>
              <w:rPr>
                <w:i/>
                <w:iCs/>
                <w:szCs w:val="20"/>
              </w:rPr>
            </w:pPr>
            <w:r w:rsidRPr="004D70F4">
              <w:rPr>
                <w:i/>
                <w:iCs/>
                <w:szCs w:val="20"/>
              </w:rPr>
              <w:t>$</w:t>
            </w:r>
            <w:r w:rsidR="0090680E" w:rsidRPr="0090680E">
              <w:rPr>
                <w:b/>
                <w:bCs/>
              </w:rPr>
              <w:t>redacted</w:t>
            </w:r>
            <w:r w:rsidR="00C37DD7" w:rsidRPr="0090680E">
              <w:rPr>
                <w:vertAlign w:val="superscript"/>
              </w:rPr>
              <w:t>4</w:t>
            </w:r>
          </w:p>
        </w:tc>
        <w:tc>
          <w:tcPr>
            <w:tcW w:w="1183" w:type="dxa"/>
            <w:tcBorders>
              <w:bottom w:val="single" w:sz="4" w:space="0" w:color="auto"/>
            </w:tcBorders>
            <w:shd w:val="clear" w:color="auto" w:fill="auto"/>
            <w:vAlign w:val="center"/>
          </w:tcPr>
          <w:p w14:paraId="320D2375" w14:textId="5A73150E" w:rsidR="00DE1BBD" w:rsidRPr="00C37DD7" w:rsidRDefault="0090680E" w:rsidP="00D07441">
            <w:pPr>
              <w:pStyle w:val="TableText"/>
              <w:spacing w:before="0" w:after="0"/>
              <w:jc w:val="center"/>
              <w:rPr>
                <w:i/>
                <w:iCs/>
              </w:rPr>
            </w:pPr>
            <w:r w:rsidRPr="0090680E">
              <w:rPr>
                <w:b/>
                <w:bCs/>
                <w:i/>
                <w:iCs/>
                <w:color w:val="000000"/>
              </w:rPr>
              <w:t>redacted</w:t>
            </w:r>
          </w:p>
        </w:tc>
      </w:tr>
      <w:tr w:rsidR="00DE1BBD" w:rsidRPr="004D70F4" w14:paraId="6C740D93" w14:textId="77777777" w:rsidTr="0090680E">
        <w:tc>
          <w:tcPr>
            <w:tcW w:w="3889" w:type="dxa"/>
            <w:tcBorders>
              <w:right w:val="nil"/>
            </w:tcBorders>
          </w:tcPr>
          <w:p w14:paraId="14B18CD1" w14:textId="77777777" w:rsidR="00DE1BBD" w:rsidRPr="004D70F4" w:rsidRDefault="00DE1BBD" w:rsidP="00D07441">
            <w:pPr>
              <w:pStyle w:val="TableText"/>
              <w:spacing w:before="0" w:after="0"/>
              <w:rPr>
                <w:i/>
                <w:iCs/>
              </w:rPr>
            </w:pPr>
            <w:r w:rsidRPr="004D70F4">
              <w:rPr>
                <w:i/>
                <w:iCs/>
              </w:rPr>
              <w:t>PFS extrapolation both arms (lognormal in BC)</w:t>
            </w:r>
          </w:p>
        </w:tc>
        <w:tc>
          <w:tcPr>
            <w:tcW w:w="1493" w:type="dxa"/>
            <w:tcBorders>
              <w:left w:val="nil"/>
              <w:right w:val="nil"/>
            </w:tcBorders>
            <w:vAlign w:val="center"/>
          </w:tcPr>
          <w:p w14:paraId="7A73DAA8" w14:textId="77777777" w:rsidR="00DE1BBD" w:rsidRPr="0035562A" w:rsidRDefault="00DE1BBD" w:rsidP="00D07441">
            <w:pPr>
              <w:pStyle w:val="TableText"/>
              <w:spacing w:before="0" w:after="0"/>
              <w:jc w:val="center"/>
              <w:rPr>
                <w:i/>
                <w:iCs/>
              </w:rPr>
            </w:pPr>
          </w:p>
        </w:tc>
        <w:tc>
          <w:tcPr>
            <w:tcW w:w="1137" w:type="dxa"/>
            <w:tcBorders>
              <w:left w:val="nil"/>
              <w:right w:val="nil"/>
            </w:tcBorders>
            <w:vAlign w:val="center"/>
          </w:tcPr>
          <w:p w14:paraId="499849BB" w14:textId="77777777" w:rsidR="00DE1BBD" w:rsidRPr="004D70F4" w:rsidRDefault="00DE1BBD" w:rsidP="00D07441">
            <w:pPr>
              <w:pStyle w:val="TableText"/>
              <w:spacing w:before="0" w:after="0"/>
              <w:jc w:val="center"/>
              <w:rPr>
                <w:i/>
                <w:iCs/>
              </w:rPr>
            </w:pPr>
          </w:p>
        </w:tc>
        <w:tc>
          <w:tcPr>
            <w:tcW w:w="1507" w:type="dxa"/>
            <w:tcBorders>
              <w:left w:val="nil"/>
              <w:right w:val="nil"/>
            </w:tcBorders>
            <w:vAlign w:val="center"/>
          </w:tcPr>
          <w:p w14:paraId="72515795" w14:textId="77777777" w:rsidR="00DE1BBD" w:rsidRPr="004D70F4" w:rsidRDefault="00DE1BBD" w:rsidP="00D07441">
            <w:pPr>
              <w:pStyle w:val="TableText"/>
              <w:spacing w:before="0" w:after="0"/>
              <w:jc w:val="center"/>
              <w:rPr>
                <w:i/>
                <w:iCs/>
                <w:szCs w:val="20"/>
              </w:rPr>
            </w:pPr>
          </w:p>
        </w:tc>
        <w:tc>
          <w:tcPr>
            <w:tcW w:w="1183" w:type="dxa"/>
            <w:tcBorders>
              <w:left w:val="nil"/>
            </w:tcBorders>
            <w:shd w:val="clear" w:color="auto" w:fill="auto"/>
            <w:vAlign w:val="center"/>
          </w:tcPr>
          <w:p w14:paraId="3599E85D" w14:textId="77777777" w:rsidR="00DE1BBD" w:rsidRPr="00C37DD7" w:rsidRDefault="00DE1BBD" w:rsidP="00D07441">
            <w:pPr>
              <w:pStyle w:val="TableText"/>
              <w:spacing w:before="0" w:after="0"/>
              <w:jc w:val="center"/>
              <w:rPr>
                <w:i/>
                <w:iCs/>
                <w:szCs w:val="20"/>
              </w:rPr>
            </w:pPr>
          </w:p>
        </w:tc>
      </w:tr>
      <w:tr w:rsidR="00DE1BBD" w:rsidRPr="004D70F4" w14:paraId="433D187A" w14:textId="77777777" w:rsidTr="0090680E">
        <w:tc>
          <w:tcPr>
            <w:tcW w:w="3889" w:type="dxa"/>
          </w:tcPr>
          <w:p w14:paraId="3B39BFC8" w14:textId="77777777" w:rsidR="00DE1BBD" w:rsidRPr="004D70F4" w:rsidRDefault="00DE1BBD" w:rsidP="00D07441">
            <w:pPr>
              <w:pStyle w:val="TableText"/>
              <w:spacing w:before="0" w:after="0"/>
            </w:pPr>
            <w:r w:rsidRPr="004D70F4">
              <w:t>Weibull used to extrapolate PFS</w:t>
            </w:r>
          </w:p>
        </w:tc>
        <w:tc>
          <w:tcPr>
            <w:tcW w:w="1493" w:type="dxa"/>
            <w:vAlign w:val="center"/>
          </w:tcPr>
          <w:p w14:paraId="317F2D67" w14:textId="0BFB9653" w:rsidR="00DE1BBD" w:rsidRPr="0035562A" w:rsidRDefault="00DE1BBD"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76FDA8C6" w14:textId="77777777" w:rsidR="00DE1BBD" w:rsidRPr="004D70F4" w:rsidRDefault="00DE1BBD" w:rsidP="00D07441">
            <w:pPr>
              <w:pStyle w:val="TableText"/>
              <w:spacing w:before="0" w:after="0"/>
              <w:jc w:val="center"/>
              <w:rPr>
                <w:i/>
                <w:iCs/>
              </w:rPr>
            </w:pPr>
            <w:r w:rsidRPr="004D70F4">
              <w:rPr>
                <w:i/>
                <w:iCs/>
              </w:rPr>
              <w:t>0.378</w:t>
            </w:r>
          </w:p>
        </w:tc>
        <w:tc>
          <w:tcPr>
            <w:tcW w:w="1507" w:type="dxa"/>
            <w:vAlign w:val="center"/>
          </w:tcPr>
          <w:p w14:paraId="7C40A465" w14:textId="4DC2B8A1" w:rsidR="00DE1BBD" w:rsidRPr="004D70F4" w:rsidRDefault="00DE1BBD" w:rsidP="00D07441">
            <w:pPr>
              <w:pStyle w:val="TableText"/>
              <w:spacing w:before="0" w:after="0"/>
              <w:jc w:val="center"/>
            </w:pPr>
            <w:r w:rsidRPr="004D70F4">
              <w:rPr>
                <w:i/>
                <w:iCs/>
                <w:szCs w:val="20"/>
              </w:rPr>
              <w:t>$</w:t>
            </w:r>
            <w:r w:rsidR="0090680E" w:rsidRPr="0090680E">
              <w:rPr>
                <w:b/>
                <w:bCs/>
              </w:rPr>
              <w:t>redacted</w:t>
            </w:r>
            <w:r w:rsidR="0035562A" w:rsidRPr="0090680E">
              <w:rPr>
                <w:vertAlign w:val="superscript"/>
              </w:rPr>
              <w:t>3</w:t>
            </w:r>
          </w:p>
        </w:tc>
        <w:tc>
          <w:tcPr>
            <w:tcW w:w="1183" w:type="dxa"/>
            <w:shd w:val="clear" w:color="auto" w:fill="auto"/>
            <w:vAlign w:val="center"/>
          </w:tcPr>
          <w:p w14:paraId="56EFA941" w14:textId="4231E775" w:rsidR="00DE1BBD" w:rsidRPr="00C37DD7" w:rsidRDefault="0090680E" w:rsidP="00D07441">
            <w:pPr>
              <w:pStyle w:val="TableText"/>
              <w:spacing w:before="0" w:after="0"/>
              <w:jc w:val="center"/>
              <w:rPr>
                <w:i/>
                <w:iCs/>
              </w:rPr>
            </w:pPr>
            <w:r w:rsidRPr="0090680E">
              <w:rPr>
                <w:b/>
                <w:bCs/>
                <w:i/>
                <w:iCs/>
                <w:color w:val="000000"/>
              </w:rPr>
              <w:t>redacted</w:t>
            </w:r>
          </w:p>
        </w:tc>
      </w:tr>
      <w:tr w:rsidR="00DE1BBD" w:rsidRPr="004D70F4" w14:paraId="327AA957" w14:textId="77777777" w:rsidTr="0090680E">
        <w:tc>
          <w:tcPr>
            <w:tcW w:w="3889" w:type="dxa"/>
          </w:tcPr>
          <w:p w14:paraId="19E0CF72" w14:textId="77777777" w:rsidR="00DE1BBD" w:rsidRPr="004D70F4" w:rsidRDefault="00DE1BBD" w:rsidP="00D07441">
            <w:pPr>
              <w:pStyle w:val="TableText"/>
              <w:spacing w:before="0" w:after="0"/>
            </w:pPr>
            <w:r w:rsidRPr="004D70F4">
              <w:t>Exponential used to extrapolate PFS</w:t>
            </w:r>
          </w:p>
        </w:tc>
        <w:tc>
          <w:tcPr>
            <w:tcW w:w="1493" w:type="dxa"/>
            <w:vAlign w:val="center"/>
          </w:tcPr>
          <w:p w14:paraId="60831B0F" w14:textId="0F894DB9" w:rsidR="00DE1BBD" w:rsidRPr="0035562A" w:rsidRDefault="00DE1BBD"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20B1F5B4" w14:textId="77777777" w:rsidR="00DE1BBD" w:rsidRPr="004D70F4" w:rsidRDefault="00DE1BBD" w:rsidP="00D07441">
            <w:pPr>
              <w:pStyle w:val="TableText"/>
              <w:spacing w:before="0" w:after="0"/>
              <w:jc w:val="center"/>
              <w:rPr>
                <w:i/>
                <w:iCs/>
              </w:rPr>
            </w:pPr>
            <w:r w:rsidRPr="004D70F4">
              <w:rPr>
                <w:i/>
                <w:iCs/>
              </w:rPr>
              <w:t>0.380</w:t>
            </w:r>
          </w:p>
        </w:tc>
        <w:tc>
          <w:tcPr>
            <w:tcW w:w="1507" w:type="dxa"/>
            <w:vAlign w:val="center"/>
          </w:tcPr>
          <w:p w14:paraId="662BB967" w14:textId="217759FF" w:rsidR="00DE1BBD" w:rsidRPr="004D70F4" w:rsidRDefault="00DE1BBD" w:rsidP="00D07441">
            <w:pPr>
              <w:pStyle w:val="TableText"/>
              <w:spacing w:before="0" w:after="0"/>
              <w:jc w:val="center"/>
            </w:pPr>
            <w:r w:rsidRPr="004D70F4">
              <w:t>$</w:t>
            </w:r>
            <w:r w:rsidR="0090680E" w:rsidRPr="0090680E">
              <w:rPr>
                <w:b/>
                <w:bCs/>
              </w:rPr>
              <w:t>redacted</w:t>
            </w:r>
            <w:r w:rsidR="0035562A" w:rsidRPr="0090680E">
              <w:rPr>
                <w:vertAlign w:val="superscript"/>
              </w:rPr>
              <w:t>3</w:t>
            </w:r>
          </w:p>
        </w:tc>
        <w:tc>
          <w:tcPr>
            <w:tcW w:w="1183" w:type="dxa"/>
            <w:shd w:val="clear" w:color="auto" w:fill="auto"/>
            <w:vAlign w:val="center"/>
          </w:tcPr>
          <w:p w14:paraId="36749B68" w14:textId="7AC4506B" w:rsidR="00DE1BBD" w:rsidRPr="00C37DD7" w:rsidRDefault="0090680E" w:rsidP="00D07441">
            <w:pPr>
              <w:pStyle w:val="TableText"/>
              <w:spacing w:before="0" w:after="0"/>
              <w:jc w:val="center"/>
              <w:rPr>
                <w:i/>
                <w:iCs/>
              </w:rPr>
            </w:pPr>
            <w:r w:rsidRPr="0090680E">
              <w:rPr>
                <w:b/>
                <w:bCs/>
                <w:i/>
                <w:iCs/>
                <w:color w:val="000000"/>
              </w:rPr>
              <w:t>redacted</w:t>
            </w:r>
          </w:p>
        </w:tc>
      </w:tr>
      <w:tr w:rsidR="00DE1BBD" w:rsidRPr="004D70F4" w14:paraId="0646A9E9" w14:textId="77777777" w:rsidTr="0090680E">
        <w:tc>
          <w:tcPr>
            <w:tcW w:w="3889" w:type="dxa"/>
            <w:tcBorders>
              <w:bottom w:val="single" w:sz="4" w:space="0" w:color="auto"/>
            </w:tcBorders>
          </w:tcPr>
          <w:p w14:paraId="26BF502A" w14:textId="77777777" w:rsidR="00DE1BBD" w:rsidRPr="004D70F4" w:rsidRDefault="00DE1BBD" w:rsidP="00D07441">
            <w:pPr>
              <w:pStyle w:val="TableText"/>
              <w:spacing w:before="0" w:after="0"/>
            </w:pPr>
            <w:r w:rsidRPr="004D70F4">
              <w:t xml:space="preserve">Gen Gamma used to extrapolate PFS </w:t>
            </w:r>
          </w:p>
        </w:tc>
        <w:tc>
          <w:tcPr>
            <w:tcW w:w="1493" w:type="dxa"/>
            <w:tcBorders>
              <w:bottom w:val="single" w:sz="4" w:space="0" w:color="auto"/>
            </w:tcBorders>
            <w:vAlign w:val="center"/>
          </w:tcPr>
          <w:p w14:paraId="147321C5" w14:textId="584E0F55" w:rsidR="00DE1BBD" w:rsidRPr="0035562A" w:rsidRDefault="00DE1BBD" w:rsidP="00D07441">
            <w:pPr>
              <w:pStyle w:val="TableText"/>
              <w:spacing w:before="0" w:after="0"/>
              <w:jc w:val="center"/>
              <w:rPr>
                <w:i/>
                <w:iCs/>
              </w:rPr>
            </w:pPr>
            <w:r w:rsidRPr="0035562A">
              <w:rPr>
                <w:i/>
                <w:iCs/>
              </w:rPr>
              <w:t>$</w:t>
            </w:r>
            <w:r w:rsidR="0090680E" w:rsidRPr="0090680E">
              <w:rPr>
                <w:b/>
                <w:bCs/>
              </w:rPr>
              <w:t>redacted</w:t>
            </w:r>
          </w:p>
        </w:tc>
        <w:tc>
          <w:tcPr>
            <w:tcW w:w="1137" w:type="dxa"/>
            <w:tcBorders>
              <w:bottom w:val="single" w:sz="4" w:space="0" w:color="auto"/>
            </w:tcBorders>
            <w:vAlign w:val="center"/>
          </w:tcPr>
          <w:p w14:paraId="1FE3331F" w14:textId="77777777" w:rsidR="00DE1BBD" w:rsidRPr="004D70F4" w:rsidRDefault="00DE1BBD" w:rsidP="00D07441">
            <w:pPr>
              <w:pStyle w:val="TableText"/>
              <w:spacing w:before="0" w:after="0"/>
              <w:jc w:val="center"/>
              <w:rPr>
                <w:i/>
                <w:iCs/>
              </w:rPr>
            </w:pPr>
            <w:r w:rsidRPr="004D70F4">
              <w:rPr>
                <w:i/>
                <w:iCs/>
              </w:rPr>
              <w:t>0.736</w:t>
            </w:r>
          </w:p>
        </w:tc>
        <w:tc>
          <w:tcPr>
            <w:tcW w:w="1507" w:type="dxa"/>
            <w:tcBorders>
              <w:bottom w:val="single" w:sz="4" w:space="0" w:color="auto"/>
            </w:tcBorders>
            <w:vAlign w:val="center"/>
          </w:tcPr>
          <w:p w14:paraId="6A2CFAB6" w14:textId="4D5A8336" w:rsidR="00DE1BBD" w:rsidRPr="004D70F4" w:rsidRDefault="00DE1BBD" w:rsidP="00D07441">
            <w:pPr>
              <w:pStyle w:val="TableText"/>
              <w:spacing w:before="0" w:after="0"/>
              <w:jc w:val="center"/>
            </w:pPr>
            <w:r w:rsidRPr="004D70F4">
              <w:t>$</w:t>
            </w:r>
            <w:r w:rsidR="0090680E" w:rsidRPr="0090680E">
              <w:rPr>
                <w:b/>
                <w:bCs/>
              </w:rPr>
              <w:t>redacted</w:t>
            </w:r>
            <w:r w:rsidR="00DF694F" w:rsidRPr="0090680E">
              <w:rPr>
                <w:b/>
                <w:vertAlign w:val="superscript"/>
              </w:rPr>
              <w:t>1</w:t>
            </w:r>
          </w:p>
        </w:tc>
        <w:tc>
          <w:tcPr>
            <w:tcW w:w="1183" w:type="dxa"/>
            <w:tcBorders>
              <w:bottom w:val="single" w:sz="4" w:space="0" w:color="auto"/>
            </w:tcBorders>
            <w:shd w:val="clear" w:color="auto" w:fill="auto"/>
            <w:vAlign w:val="center"/>
          </w:tcPr>
          <w:p w14:paraId="5A9AF8C6" w14:textId="2468944C" w:rsidR="00DE1BBD" w:rsidRPr="00C37DD7" w:rsidRDefault="0090680E" w:rsidP="00D07441">
            <w:pPr>
              <w:pStyle w:val="TableText"/>
              <w:spacing w:before="0" w:after="0"/>
              <w:jc w:val="center"/>
              <w:rPr>
                <w:i/>
                <w:iCs/>
              </w:rPr>
            </w:pPr>
            <w:r w:rsidRPr="0090680E">
              <w:rPr>
                <w:b/>
                <w:bCs/>
                <w:i/>
                <w:iCs/>
                <w:color w:val="000000"/>
              </w:rPr>
              <w:t>redacted</w:t>
            </w:r>
          </w:p>
        </w:tc>
      </w:tr>
      <w:tr w:rsidR="00DE1BBD" w:rsidRPr="004D70F4" w14:paraId="7F65F973" w14:textId="77777777" w:rsidTr="0090680E">
        <w:tc>
          <w:tcPr>
            <w:tcW w:w="3889" w:type="dxa"/>
            <w:tcBorders>
              <w:right w:val="nil"/>
            </w:tcBorders>
          </w:tcPr>
          <w:p w14:paraId="5FF10B49" w14:textId="77777777" w:rsidR="00DE1BBD" w:rsidRPr="004D70F4" w:rsidRDefault="00DE1BBD" w:rsidP="00D07441">
            <w:pPr>
              <w:pStyle w:val="TableText"/>
              <w:spacing w:before="0" w:after="0"/>
            </w:pPr>
            <w:r w:rsidRPr="004D70F4">
              <w:t>PFS2 extrapolation both arms (Generalised Gamma in BC)</w:t>
            </w:r>
          </w:p>
        </w:tc>
        <w:tc>
          <w:tcPr>
            <w:tcW w:w="1493" w:type="dxa"/>
            <w:tcBorders>
              <w:left w:val="nil"/>
              <w:right w:val="nil"/>
            </w:tcBorders>
            <w:vAlign w:val="center"/>
          </w:tcPr>
          <w:p w14:paraId="3D4ADFD6" w14:textId="77777777" w:rsidR="00DE1BBD" w:rsidRPr="0035562A" w:rsidRDefault="00DE1BBD" w:rsidP="00D07441">
            <w:pPr>
              <w:pStyle w:val="TableText"/>
              <w:spacing w:before="0" w:after="0"/>
              <w:jc w:val="center"/>
              <w:rPr>
                <w:i/>
                <w:iCs/>
              </w:rPr>
            </w:pPr>
          </w:p>
        </w:tc>
        <w:tc>
          <w:tcPr>
            <w:tcW w:w="1137" w:type="dxa"/>
            <w:tcBorders>
              <w:left w:val="nil"/>
              <w:right w:val="nil"/>
            </w:tcBorders>
            <w:vAlign w:val="center"/>
          </w:tcPr>
          <w:p w14:paraId="7C79F94B" w14:textId="77777777" w:rsidR="00DE1BBD" w:rsidRPr="004D70F4" w:rsidRDefault="00DE1BBD" w:rsidP="00D07441">
            <w:pPr>
              <w:pStyle w:val="TableText"/>
              <w:spacing w:before="0" w:after="0"/>
              <w:jc w:val="center"/>
              <w:rPr>
                <w:i/>
                <w:iCs/>
              </w:rPr>
            </w:pPr>
          </w:p>
        </w:tc>
        <w:tc>
          <w:tcPr>
            <w:tcW w:w="1507" w:type="dxa"/>
            <w:tcBorders>
              <w:left w:val="nil"/>
              <w:right w:val="nil"/>
            </w:tcBorders>
            <w:vAlign w:val="center"/>
          </w:tcPr>
          <w:p w14:paraId="6E5DA94E" w14:textId="77777777" w:rsidR="00DE1BBD" w:rsidRPr="004D70F4" w:rsidRDefault="00DE1BBD" w:rsidP="00D07441">
            <w:pPr>
              <w:pStyle w:val="TableText"/>
              <w:spacing w:before="0" w:after="0"/>
              <w:jc w:val="center"/>
              <w:rPr>
                <w:szCs w:val="20"/>
              </w:rPr>
            </w:pPr>
          </w:p>
        </w:tc>
        <w:tc>
          <w:tcPr>
            <w:tcW w:w="1183" w:type="dxa"/>
            <w:tcBorders>
              <w:left w:val="nil"/>
            </w:tcBorders>
            <w:shd w:val="clear" w:color="auto" w:fill="auto"/>
            <w:vAlign w:val="center"/>
          </w:tcPr>
          <w:p w14:paraId="1A35074E" w14:textId="77777777" w:rsidR="00DE1BBD" w:rsidRPr="00C37DD7" w:rsidRDefault="00DE1BBD" w:rsidP="00D07441">
            <w:pPr>
              <w:pStyle w:val="TableText"/>
              <w:spacing w:before="0" w:after="0"/>
              <w:jc w:val="center"/>
              <w:rPr>
                <w:i/>
                <w:iCs/>
                <w:szCs w:val="20"/>
              </w:rPr>
            </w:pPr>
          </w:p>
        </w:tc>
      </w:tr>
      <w:tr w:rsidR="00DE1BBD" w:rsidRPr="004D70F4" w14:paraId="0662F07F" w14:textId="77777777" w:rsidTr="0090680E">
        <w:tc>
          <w:tcPr>
            <w:tcW w:w="3889" w:type="dxa"/>
          </w:tcPr>
          <w:p w14:paraId="061FA0E0" w14:textId="77777777" w:rsidR="00DE1BBD" w:rsidRPr="004D70F4" w:rsidRDefault="00DE1BBD" w:rsidP="00D07441">
            <w:pPr>
              <w:pStyle w:val="TableText"/>
              <w:spacing w:before="0" w:after="0"/>
            </w:pPr>
            <w:r w:rsidRPr="004D70F4">
              <w:t>Weibull used to extrapolate PFS2</w:t>
            </w:r>
          </w:p>
        </w:tc>
        <w:tc>
          <w:tcPr>
            <w:tcW w:w="1493" w:type="dxa"/>
            <w:vAlign w:val="center"/>
          </w:tcPr>
          <w:p w14:paraId="066B5AAA" w14:textId="5B0DEDBE" w:rsidR="00DE1BBD" w:rsidRPr="0035562A" w:rsidRDefault="00DE1BBD"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5F81E274" w14:textId="77777777" w:rsidR="00DE1BBD" w:rsidRPr="004D70F4" w:rsidRDefault="00DE1BBD" w:rsidP="00D07441">
            <w:pPr>
              <w:pStyle w:val="TableText"/>
              <w:spacing w:before="0" w:after="0"/>
              <w:jc w:val="center"/>
              <w:rPr>
                <w:i/>
                <w:iCs/>
              </w:rPr>
            </w:pPr>
            <w:r w:rsidRPr="004D70F4">
              <w:rPr>
                <w:i/>
                <w:iCs/>
              </w:rPr>
              <w:t>0.304</w:t>
            </w:r>
          </w:p>
        </w:tc>
        <w:tc>
          <w:tcPr>
            <w:tcW w:w="1507" w:type="dxa"/>
            <w:vAlign w:val="center"/>
          </w:tcPr>
          <w:p w14:paraId="14D96CE9" w14:textId="40666C76" w:rsidR="00DE1BBD" w:rsidRPr="004D70F4" w:rsidRDefault="00DE1BBD" w:rsidP="00D07441">
            <w:pPr>
              <w:pStyle w:val="TableText"/>
              <w:spacing w:before="0" w:after="0"/>
              <w:jc w:val="center"/>
            </w:pPr>
            <w:r w:rsidRPr="004D70F4">
              <w:t>$</w:t>
            </w:r>
            <w:r w:rsidR="0090680E" w:rsidRPr="0090680E">
              <w:rPr>
                <w:b/>
                <w:bCs/>
              </w:rPr>
              <w:t>redacted</w:t>
            </w:r>
            <w:r w:rsidR="00C37DD7" w:rsidRPr="0090680E">
              <w:rPr>
                <w:vertAlign w:val="superscript"/>
              </w:rPr>
              <w:t>4</w:t>
            </w:r>
          </w:p>
        </w:tc>
        <w:tc>
          <w:tcPr>
            <w:tcW w:w="1183" w:type="dxa"/>
            <w:shd w:val="clear" w:color="auto" w:fill="auto"/>
            <w:vAlign w:val="center"/>
          </w:tcPr>
          <w:p w14:paraId="7433E847" w14:textId="345BCDEC" w:rsidR="00DE1BBD" w:rsidRPr="00C37DD7" w:rsidRDefault="0090680E" w:rsidP="00D07441">
            <w:pPr>
              <w:pStyle w:val="TableText"/>
              <w:spacing w:before="0" w:after="0"/>
              <w:jc w:val="center"/>
              <w:rPr>
                <w:i/>
                <w:iCs/>
              </w:rPr>
            </w:pPr>
            <w:r w:rsidRPr="0090680E">
              <w:rPr>
                <w:b/>
                <w:bCs/>
                <w:i/>
                <w:iCs/>
                <w:color w:val="000000"/>
              </w:rPr>
              <w:t>redacted</w:t>
            </w:r>
            <w:r w:rsidR="000A6850" w:rsidRPr="000A6850" w:rsidDel="000A6850">
              <w:rPr>
                <w:i/>
                <w:iCs/>
                <w:color w:val="000000"/>
              </w:rPr>
              <w:t xml:space="preserve"> </w:t>
            </w:r>
          </w:p>
        </w:tc>
      </w:tr>
      <w:tr w:rsidR="00DE1BBD" w:rsidRPr="004D70F4" w14:paraId="1BF99053" w14:textId="77777777" w:rsidTr="0090680E">
        <w:tc>
          <w:tcPr>
            <w:tcW w:w="3889" w:type="dxa"/>
          </w:tcPr>
          <w:p w14:paraId="1CB0DFA0" w14:textId="77777777" w:rsidR="00DE1BBD" w:rsidRPr="004D70F4" w:rsidRDefault="00DE1BBD" w:rsidP="00D07441">
            <w:pPr>
              <w:pStyle w:val="TableText"/>
              <w:spacing w:before="0" w:after="0"/>
            </w:pPr>
            <w:r w:rsidRPr="004D70F4">
              <w:t>Exponential used to extrapolate PFS2</w:t>
            </w:r>
          </w:p>
        </w:tc>
        <w:tc>
          <w:tcPr>
            <w:tcW w:w="1493" w:type="dxa"/>
            <w:vAlign w:val="center"/>
          </w:tcPr>
          <w:p w14:paraId="487FCC66" w14:textId="40F7B585" w:rsidR="00DE1BBD" w:rsidRPr="0035562A" w:rsidRDefault="00DE1BBD"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69D145A3" w14:textId="77777777" w:rsidR="00DE1BBD" w:rsidRPr="004D70F4" w:rsidRDefault="00DE1BBD" w:rsidP="00D07441">
            <w:pPr>
              <w:pStyle w:val="TableText"/>
              <w:spacing w:before="0" w:after="0"/>
              <w:jc w:val="center"/>
              <w:rPr>
                <w:i/>
                <w:iCs/>
              </w:rPr>
            </w:pPr>
            <w:r w:rsidRPr="004D70F4">
              <w:rPr>
                <w:i/>
                <w:iCs/>
              </w:rPr>
              <w:t>0.319</w:t>
            </w:r>
          </w:p>
        </w:tc>
        <w:tc>
          <w:tcPr>
            <w:tcW w:w="1507" w:type="dxa"/>
            <w:vAlign w:val="center"/>
          </w:tcPr>
          <w:p w14:paraId="1C695D3A" w14:textId="79FB8089" w:rsidR="00DE1BBD" w:rsidRPr="004D70F4" w:rsidRDefault="00DE1BBD" w:rsidP="00D07441">
            <w:pPr>
              <w:pStyle w:val="TableText"/>
              <w:spacing w:before="0" w:after="0"/>
              <w:jc w:val="center"/>
            </w:pPr>
            <w:r w:rsidRPr="004D70F4">
              <w:t>$</w:t>
            </w:r>
            <w:r w:rsidR="0090680E" w:rsidRPr="0090680E">
              <w:rPr>
                <w:b/>
                <w:bCs/>
              </w:rPr>
              <w:t>redacted</w:t>
            </w:r>
            <w:r w:rsidR="00C37DD7" w:rsidRPr="0090680E">
              <w:rPr>
                <w:vertAlign w:val="superscript"/>
              </w:rPr>
              <w:t>4</w:t>
            </w:r>
          </w:p>
        </w:tc>
        <w:tc>
          <w:tcPr>
            <w:tcW w:w="1183" w:type="dxa"/>
            <w:shd w:val="clear" w:color="auto" w:fill="auto"/>
            <w:vAlign w:val="center"/>
          </w:tcPr>
          <w:p w14:paraId="112A39D6" w14:textId="407F0413" w:rsidR="00DE1BBD" w:rsidRPr="00C37DD7" w:rsidRDefault="0090680E" w:rsidP="00D07441">
            <w:pPr>
              <w:pStyle w:val="TableText"/>
              <w:spacing w:before="0" w:after="0"/>
              <w:jc w:val="center"/>
              <w:rPr>
                <w:i/>
                <w:iCs/>
              </w:rPr>
            </w:pPr>
            <w:r w:rsidRPr="0090680E">
              <w:rPr>
                <w:b/>
                <w:bCs/>
                <w:i/>
                <w:iCs/>
                <w:color w:val="000000"/>
              </w:rPr>
              <w:t>redacted</w:t>
            </w:r>
            <w:r w:rsidR="000A6850" w:rsidRPr="000A6850" w:rsidDel="000A6850">
              <w:rPr>
                <w:i/>
                <w:iCs/>
                <w:color w:val="000000"/>
              </w:rPr>
              <w:t xml:space="preserve"> </w:t>
            </w:r>
          </w:p>
        </w:tc>
      </w:tr>
      <w:tr w:rsidR="00DE1BBD" w:rsidRPr="004D70F4" w14:paraId="0E7EE548" w14:textId="77777777" w:rsidTr="0090680E">
        <w:tc>
          <w:tcPr>
            <w:tcW w:w="3889" w:type="dxa"/>
          </w:tcPr>
          <w:p w14:paraId="502281DD" w14:textId="77777777" w:rsidR="00DE1BBD" w:rsidRPr="004D70F4" w:rsidRDefault="00DE1BBD" w:rsidP="00D07441">
            <w:pPr>
              <w:pStyle w:val="TableText"/>
              <w:spacing w:before="0" w:after="0"/>
            </w:pPr>
            <w:r w:rsidRPr="004D70F4">
              <w:t>Loglogistic used to extrapolate PFS2</w:t>
            </w:r>
          </w:p>
        </w:tc>
        <w:tc>
          <w:tcPr>
            <w:tcW w:w="1493" w:type="dxa"/>
            <w:vAlign w:val="center"/>
          </w:tcPr>
          <w:p w14:paraId="56DCE096" w14:textId="63CC33ED" w:rsidR="00DE1BBD" w:rsidRPr="0035562A" w:rsidRDefault="00DE1BBD"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72A0CA82" w14:textId="77777777" w:rsidR="00DE1BBD" w:rsidRPr="004D70F4" w:rsidRDefault="00DE1BBD" w:rsidP="00D07441">
            <w:pPr>
              <w:pStyle w:val="TableText"/>
              <w:spacing w:before="0" w:after="0"/>
              <w:jc w:val="center"/>
              <w:rPr>
                <w:i/>
                <w:iCs/>
              </w:rPr>
            </w:pPr>
            <w:r w:rsidRPr="004D70F4">
              <w:rPr>
                <w:i/>
                <w:iCs/>
              </w:rPr>
              <w:t>0.316</w:t>
            </w:r>
          </w:p>
        </w:tc>
        <w:tc>
          <w:tcPr>
            <w:tcW w:w="1507" w:type="dxa"/>
            <w:vAlign w:val="center"/>
          </w:tcPr>
          <w:p w14:paraId="1D85CC46" w14:textId="2BF101EF" w:rsidR="00DE1BBD" w:rsidRPr="004D70F4" w:rsidRDefault="00DE1BBD" w:rsidP="00D07441">
            <w:pPr>
              <w:pStyle w:val="TableText"/>
              <w:spacing w:before="0" w:after="0"/>
              <w:jc w:val="center"/>
            </w:pPr>
            <w:r w:rsidRPr="004D70F4">
              <w:t>$</w:t>
            </w:r>
            <w:r w:rsidR="0090680E" w:rsidRPr="0090680E">
              <w:rPr>
                <w:b/>
                <w:bCs/>
              </w:rPr>
              <w:t>redacted</w:t>
            </w:r>
            <w:r w:rsidR="00C37DD7" w:rsidRPr="0090680E">
              <w:rPr>
                <w:vertAlign w:val="superscript"/>
              </w:rPr>
              <w:t>4</w:t>
            </w:r>
          </w:p>
        </w:tc>
        <w:tc>
          <w:tcPr>
            <w:tcW w:w="1183" w:type="dxa"/>
            <w:shd w:val="clear" w:color="auto" w:fill="auto"/>
            <w:vAlign w:val="center"/>
          </w:tcPr>
          <w:p w14:paraId="30FA5440" w14:textId="57E40ACF" w:rsidR="00DE1BBD" w:rsidRPr="00C37DD7" w:rsidRDefault="0090680E" w:rsidP="00D07441">
            <w:pPr>
              <w:pStyle w:val="TableText"/>
              <w:spacing w:before="0" w:after="0"/>
              <w:jc w:val="center"/>
              <w:rPr>
                <w:i/>
                <w:iCs/>
              </w:rPr>
            </w:pPr>
            <w:r w:rsidRPr="0090680E">
              <w:rPr>
                <w:b/>
                <w:bCs/>
                <w:i/>
                <w:iCs/>
                <w:color w:val="000000"/>
              </w:rPr>
              <w:t>redacted</w:t>
            </w:r>
          </w:p>
        </w:tc>
      </w:tr>
      <w:tr w:rsidR="00DE1BBD" w:rsidRPr="004D70F4" w14:paraId="743446E6" w14:textId="77777777" w:rsidTr="0090680E">
        <w:tc>
          <w:tcPr>
            <w:tcW w:w="3889" w:type="dxa"/>
          </w:tcPr>
          <w:p w14:paraId="352EC051" w14:textId="77777777" w:rsidR="00DE1BBD" w:rsidRPr="004D70F4" w:rsidRDefault="00DE1BBD" w:rsidP="00D07441">
            <w:pPr>
              <w:pStyle w:val="TableText"/>
              <w:spacing w:before="0" w:after="0"/>
            </w:pPr>
            <w:r w:rsidRPr="004D70F4">
              <w:t>Gompertz used to extrapolate PFS2</w:t>
            </w:r>
          </w:p>
        </w:tc>
        <w:tc>
          <w:tcPr>
            <w:tcW w:w="1493" w:type="dxa"/>
            <w:vAlign w:val="center"/>
          </w:tcPr>
          <w:p w14:paraId="5D94B000" w14:textId="627F90FF" w:rsidR="00DE1BBD" w:rsidRPr="0035562A" w:rsidRDefault="00DE1BBD"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2C30E244" w14:textId="77777777" w:rsidR="00DE1BBD" w:rsidRPr="004D70F4" w:rsidRDefault="00DE1BBD" w:rsidP="00D07441">
            <w:pPr>
              <w:pStyle w:val="TableText"/>
              <w:spacing w:before="0" w:after="0"/>
              <w:jc w:val="center"/>
              <w:rPr>
                <w:i/>
                <w:iCs/>
              </w:rPr>
            </w:pPr>
            <w:r w:rsidRPr="004D70F4">
              <w:rPr>
                <w:i/>
                <w:iCs/>
              </w:rPr>
              <w:t>0.303</w:t>
            </w:r>
          </w:p>
        </w:tc>
        <w:tc>
          <w:tcPr>
            <w:tcW w:w="1507" w:type="dxa"/>
            <w:vAlign w:val="center"/>
          </w:tcPr>
          <w:p w14:paraId="6A65249D" w14:textId="52EA72C2" w:rsidR="00DE1BBD" w:rsidRPr="004D70F4" w:rsidRDefault="00DE1BBD" w:rsidP="00D07441">
            <w:pPr>
              <w:pStyle w:val="TableText"/>
              <w:spacing w:before="0" w:after="0"/>
              <w:jc w:val="center"/>
            </w:pPr>
            <w:r w:rsidRPr="004D70F4">
              <w:t>$</w:t>
            </w:r>
            <w:r w:rsidR="0090680E" w:rsidRPr="0090680E">
              <w:rPr>
                <w:b/>
                <w:bCs/>
              </w:rPr>
              <w:t>redacted</w:t>
            </w:r>
            <w:r w:rsidR="00C37DD7" w:rsidRPr="0090680E">
              <w:rPr>
                <w:vertAlign w:val="superscript"/>
              </w:rPr>
              <w:t>4</w:t>
            </w:r>
          </w:p>
        </w:tc>
        <w:tc>
          <w:tcPr>
            <w:tcW w:w="1183" w:type="dxa"/>
            <w:shd w:val="clear" w:color="auto" w:fill="auto"/>
            <w:vAlign w:val="center"/>
          </w:tcPr>
          <w:p w14:paraId="453A9A0A" w14:textId="07415A71" w:rsidR="00DE1BBD" w:rsidRPr="00C37DD7" w:rsidRDefault="0090680E" w:rsidP="00D07441">
            <w:pPr>
              <w:pStyle w:val="TableText"/>
              <w:spacing w:before="0" w:after="0"/>
              <w:jc w:val="center"/>
              <w:rPr>
                <w:i/>
                <w:iCs/>
              </w:rPr>
            </w:pPr>
            <w:r w:rsidRPr="0090680E">
              <w:rPr>
                <w:b/>
                <w:bCs/>
                <w:i/>
                <w:iCs/>
                <w:color w:val="000000"/>
              </w:rPr>
              <w:t>redacted</w:t>
            </w:r>
          </w:p>
        </w:tc>
      </w:tr>
      <w:tr w:rsidR="000A6850" w:rsidRPr="004D70F4" w14:paraId="56CCC502" w14:textId="77777777" w:rsidTr="0090680E">
        <w:tc>
          <w:tcPr>
            <w:tcW w:w="3889" w:type="dxa"/>
            <w:tcBorders>
              <w:bottom w:val="single" w:sz="4" w:space="0" w:color="auto"/>
            </w:tcBorders>
          </w:tcPr>
          <w:p w14:paraId="1490DA85" w14:textId="77777777" w:rsidR="000A6850" w:rsidRPr="004D70F4" w:rsidRDefault="000A6850" w:rsidP="00D07441">
            <w:pPr>
              <w:pStyle w:val="TableText"/>
              <w:spacing w:before="0" w:after="0"/>
            </w:pPr>
            <w:r w:rsidRPr="004D70F4">
              <w:t xml:space="preserve">Lognormal used to extrapolate PFS2 </w:t>
            </w:r>
          </w:p>
        </w:tc>
        <w:tc>
          <w:tcPr>
            <w:tcW w:w="1493" w:type="dxa"/>
            <w:tcBorders>
              <w:bottom w:val="single" w:sz="4" w:space="0" w:color="auto"/>
            </w:tcBorders>
            <w:vAlign w:val="center"/>
          </w:tcPr>
          <w:p w14:paraId="141BE8A0" w14:textId="71374BFB" w:rsidR="000A6850" w:rsidRPr="0035562A" w:rsidRDefault="000A6850" w:rsidP="00D07441">
            <w:pPr>
              <w:pStyle w:val="TableText"/>
              <w:spacing w:before="0" w:after="0"/>
              <w:jc w:val="center"/>
              <w:rPr>
                <w:i/>
                <w:iCs/>
              </w:rPr>
            </w:pPr>
            <w:r w:rsidRPr="0035562A">
              <w:rPr>
                <w:i/>
                <w:iCs/>
              </w:rPr>
              <w:t>$</w:t>
            </w:r>
            <w:r w:rsidR="0090680E" w:rsidRPr="0090680E">
              <w:rPr>
                <w:b/>
                <w:bCs/>
              </w:rPr>
              <w:t>redacted</w:t>
            </w:r>
          </w:p>
        </w:tc>
        <w:tc>
          <w:tcPr>
            <w:tcW w:w="1137" w:type="dxa"/>
            <w:tcBorders>
              <w:bottom w:val="single" w:sz="4" w:space="0" w:color="auto"/>
            </w:tcBorders>
            <w:vAlign w:val="center"/>
          </w:tcPr>
          <w:p w14:paraId="0DB80078" w14:textId="77777777" w:rsidR="000A6850" w:rsidRPr="004D70F4" w:rsidRDefault="000A6850" w:rsidP="00D07441">
            <w:pPr>
              <w:pStyle w:val="TableText"/>
              <w:spacing w:before="0" w:after="0"/>
              <w:jc w:val="center"/>
              <w:rPr>
                <w:i/>
                <w:iCs/>
              </w:rPr>
            </w:pPr>
            <w:r w:rsidRPr="004D70F4">
              <w:rPr>
                <w:i/>
                <w:iCs/>
              </w:rPr>
              <w:t>0.312</w:t>
            </w:r>
          </w:p>
        </w:tc>
        <w:tc>
          <w:tcPr>
            <w:tcW w:w="1507" w:type="dxa"/>
            <w:tcBorders>
              <w:bottom w:val="single" w:sz="4" w:space="0" w:color="auto"/>
            </w:tcBorders>
            <w:shd w:val="clear" w:color="auto" w:fill="auto"/>
            <w:vAlign w:val="center"/>
          </w:tcPr>
          <w:p w14:paraId="66F6B3DD" w14:textId="1C358BE5" w:rsidR="000A6850" w:rsidRPr="004D70F4" w:rsidRDefault="000A6850" w:rsidP="00D07441">
            <w:pPr>
              <w:pStyle w:val="TableText"/>
              <w:spacing w:before="0" w:after="0"/>
              <w:jc w:val="center"/>
            </w:pPr>
            <w:r w:rsidRPr="004D70F4">
              <w:t>$</w:t>
            </w:r>
            <w:r w:rsidR="0090680E" w:rsidRPr="0090680E">
              <w:rPr>
                <w:b/>
                <w:bCs/>
              </w:rPr>
              <w:t>redacted</w:t>
            </w:r>
            <w:r w:rsidRPr="0090680E">
              <w:rPr>
                <w:vertAlign w:val="superscript"/>
              </w:rPr>
              <w:t>4</w:t>
            </w:r>
          </w:p>
        </w:tc>
        <w:tc>
          <w:tcPr>
            <w:tcW w:w="1183" w:type="dxa"/>
            <w:tcBorders>
              <w:bottom w:val="single" w:sz="4" w:space="0" w:color="auto"/>
            </w:tcBorders>
            <w:shd w:val="clear" w:color="auto" w:fill="auto"/>
          </w:tcPr>
          <w:p w14:paraId="215F0EF0" w14:textId="4D4492A7" w:rsidR="000A6850" w:rsidRPr="00C37DD7" w:rsidRDefault="0090680E" w:rsidP="00D07441">
            <w:pPr>
              <w:pStyle w:val="TableText"/>
              <w:spacing w:before="0" w:after="0"/>
              <w:jc w:val="center"/>
              <w:rPr>
                <w:i/>
                <w:iCs/>
              </w:rPr>
            </w:pPr>
            <w:r w:rsidRPr="0090680E">
              <w:rPr>
                <w:b/>
                <w:bCs/>
                <w:i/>
                <w:iCs/>
                <w:color w:val="000000"/>
              </w:rPr>
              <w:t>redacted</w:t>
            </w:r>
          </w:p>
        </w:tc>
      </w:tr>
      <w:tr w:rsidR="000A6850" w:rsidRPr="004D70F4" w14:paraId="756198CE" w14:textId="77777777" w:rsidTr="0090680E">
        <w:tc>
          <w:tcPr>
            <w:tcW w:w="3889" w:type="dxa"/>
            <w:tcBorders>
              <w:right w:val="nil"/>
            </w:tcBorders>
          </w:tcPr>
          <w:p w14:paraId="08AEC3EF" w14:textId="77777777" w:rsidR="000A6850" w:rsidRPr="004D70F4" w:rsidRDefault="000A6850" w:rsidP="00D07441">
            <w:pPr>
              <w:pStyle w:val="TableText"/>
              <w:spacing w:before="0" w:after="0"/>
            </w:pPr>
            <w:r w:rsidRPr="004D70F4">
              <w:t>OS extrapolation both arms (log normal in BC)</w:t>
            </w:r>
          </w:p>
        </w:tc>
        <w:tc>
          <w:tcPr>
            <w:tcW w:w="1493" w:type="dxa"/>
            <w:tcBorders>
              <w:left w:val="nil"/>
              <w:right w:val="nil"/>
            </w:tcBorders>
            <w:vAlign w:val="center"/>
          </w:tcPr>
          <w:p w14:paraId="339F5203" w14:textId="77777777" w:rsidR="000A6850" w:rsidRPr="004D70F4" w:rsidRDefault="000A6850" w:rsidP="00D07441">
            <w:pPr>
              <w:pStyle w:val="TableText"/>
              <w:spacing w:before="0" w:after="0"/>
              <w:jc w:val="center"/>
              <w:rPr>
                <w:i/>
                <w:iCs/>
              </w:rPr>
            </w:pPr>
          </w:p>
        </w:tc>
        <w:tc>
          <w:tcPr>
            <w:tcW w:w="1137" w:type="dxa"/>
            <w:tcBorders>
              <w:left w:val="nil"/>
              <w:right w:val="nil"/>
            </w:tcBorders>
            <w:vAlign w:val="center"/>
          </w:tcPr>
          <w:p w14:paraId="0219FAAF" w14:textId="77777777" w:rsidR="000A6850" w:rsidRPr="004D70F4" w:rsidRDefault="000A6850" w:rsidP="00D07441">
            <w:pPr>
              <w:pStyle w:val="TableText"/>
              <w:spacing w:before="0" w:after="0"/>
              <w:jc w:val="center"/>
              <w:rPr>
                <w:i/>
                <w:iCs/>
              </w:rPr>
            </w:pPr>
          </w:p>
        </w:tc>
        <w:tc>
          <w:tcPr>
            <w:tcW w:w="1507" w:type="dxa"/>
            <w:tcBorders>
              <w:left w:val="nil"/>
              <w:right w:val="nil"/>
            </w:tcBorders>
            <w:vAlign w:val="center"/>
          </w:tcPr>
          <w:p w14:paraId="39B2CAE4" w14:textId="77777777" w:rsidR="000A6850" w:rsidRPr="004D70F4" w:rsidRDefault="000A6850" w:rsidP="00D07441">
            <w:pPr>
              <w:pStyle w:val="TableText"/>
              <w:spacing w:before="0" w:after="0"/>
              <w:jc w:val="center"/>
              <w:rPr>
                <w:szCs w:val="20"/>
              </w:rPr>
            </w:pPr>
          </w:p>
        </w:tc>
        <w:tc>
          <w:tcPr>
            <w:tcW w:w="1183" w:type="dxa"/>
            <w:tcBorders>
              <w:left w:val="nil"/>
            </w:tcBorders>
            <w:shd w:val="clear" w:color="auto" w:fill="auto"/>
          </w:tcPr>
          <w:p w14:paraId="1B1E52F7" w14:textId="2ECC9913" w:rsidR="000A6850" w:rsidRPr="00C37DD7" w:rsidRDefault="000A6850" w:rsidP="00D07441">
            <w:pPr>
              <w:pStyle w:val="TableText"/>
              <w:spacing w:before="0" w:after="0"/>
              <w:jc w:val="center"/>
              <w:rPr>
                <w:i/>
                <w:iCs/>
                <w:szCs w:val="20"/>
              </w:rPr>
            </w:pPr>
          </w:p>
        </w:tc>
      </w:tr>
      <w:tr w:rsidR="000A6850" w:rsidRPr="004D70F4" w14:paraId="3105FE72" w14:textId="77777777" w:rsidTr="0090680E">
        <w:tc>
          <w:tcPr>
            <w:tcW w:w="3889" w:type="dxa"/>
          </w:tcPr>
          <w:p w14:paraId="3C301730" w14:textId="77777777" w:rsidR="000A6850" w:rsidRPr="004D70F4" w:rsidRDefault="000A6850" w:rsidP="00D07441">
            <w:pPr>
              <w:pStyle w:val="TableText"/>
              <w:spacing w:before="0" w:after="0"/>
            </w:pPr>
            <w:r w:rsidRPr="004D70F4">
              <w:t>Weibull used to extrapolate OS</w:t>
            </w:r>
          </w:p>
        </w:tc>
        <w:tc>
          <w:tcPr>
            <w:tcW w:w="1493" w:type="dxa"/>
            <w:vAlign w:val="center"/>
          </w:tcPr>
          <w:p w14:paraId="1BF66C20" w14:textId="5ABAEEED" w:rsidR="000A6850" w:rsidRPr="0035562A" w:rsidRDefault="000A6850"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579EB960" w14:textId="77777777" w:rsidR="000A6850" w:rsidRPr="004D70F4" w:rsidRDefault="000A6850" w:rsidP="00D07441">
            <w:pPr>
              <w:pStyle w:val="TableText"/>
              <w:spacing w:before="0" w:after="0"/>
              <w:jc w:val="center"/>
              <w:rPr>
                <w:i/>
                <w:iCs/>
              </w:rPr>
            </w:pPr>
            <w:r w:rsidRPr="004D70F4">
              <w:rPr>
                <w:i/>
                <w:iCs/>
              </w:rPr>
              <w:t>0.372</w:t>
            </w:r>
          </w:p>
        </w:tc>
        <w:tc>
          <w:tcPr>
            <w:tcW w:w="1507" w:type="dxa"/>
            <w:shd w:val="clear" w:color="auto" w:fill="auto"/>
            <w:vAlign w:val="center"/>
          </w:tcPr>
          <w:p w14:paraId="7F3A8917" w14:textId="506CE744" w:rsidR="000A6850" w:rsidRPr="004D70F4" w:rsidRDefault="000A6850" w:rsidP="00D07441">
            <w:pPr>
              <w:pStyle w:val="TableText"/>
              <w:spacing w:before="0" w:after="0"/>
              <w:jc w:val="center"/>
            </w:pPr>
            <w:r w:rsidRPr="004D70F4">
              <w:t>$</w:t>
            </w:r>
            <w:r w:rsidR="0090680E" w:rsidRPr="0090680E">
              <w:rPr>
                <w:b/>
                <w:bCs/>
              </w:rPr>
              <w:t>redacted</w:t>
            </w:r>
            <w:r w:rsidRPr="0090680E">
              <w:rPr>
                <w:vertAlign w:val="superscript"/>
              </w:rPr>
              <w:t>3</w:t>
            </w:r>
          </w:p>
        </w:tc>
        <w:tc>
          <w:tcPr>
            <w:tcW w:w="1183" w:type="dxa"/>
            <w:shd w:val="clear" w:color="auto" w:fill="auto"/>
          </w:tcPr>
          <w:p w14:paraId="03AA22CF" w14:textId="7CF10E7D" w:rsidR="000A6850" w:rsidRPr="00C37DD7" w:rsidRDefault="0090680E" w:rsidP="00D07441">
            <w:pPr>
              <w:pStyle w:val="TableText"/>
              <w:spacing w:before="0" w:after="0"/>
              <w:jc w:val="center"/>
              <w:rPr>
                <w:i/>
                <w:iCs/>
              </w:rPr>
            </w:pPr>
            <w:r w:rsidRPr="0090680E">
              <w:rPr>
                <w:b/>
                <w:bCs/>
                <w:i/>
                <w:iCs/>
                <w:color w:val="000000"/>
              </w:rPr>
              <w:t>redacted</w:t>
            </w:r>
          </w:p>
        </w:tc>
      </w:tr>
      <w:tr w:rsidR="000A6850" w:rsidRPr="004D70F4" w14:paraId="2495C170" w14:textId="77777777" w:rsidTr="0090680E">
        <w:tc>
          <w:tcPr>
            <w:tcW w:w="3889" w:type="dxa"/>
          </w:tcPr>
          <w:p w14:paraId="4DFF2B70" w14:textId="77777777" w:rsidR="000A6850" w:rsidRPr="004D70F4" w:rsidRDefault="000A6850" w:rsidP="00D07441">
            <w:pPr>
              <w:pStyle w:val="TableText"/>
              <w:spacing w:before="0" w:after="0"/>
            </w:pPr>
            <w:r w:rsidRPr="004D70F4">
              <w:t>Loglogistic used to extrapolate OS</w:t>
            </w:r>
          </w:p>
        </w:tc>
        <w:tc>
          <w:tcPr>
            <w:tcW w:w="1493" w:type="dxa"/>
            <w:shd w:val="clear" w:color="auto" w:fill="auto"/>
            <w:vAlign w:val="center"/>
          </w:tcPr>
          <w:p w14:paraId="5132413A" w14:textId="46C5DC1A" w:rsidR="000A6850" w:rsidRPr="0035562A" w:rsidRDefault="000A6850"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0FFD2A3C" w14:textId="77777777" w:rsidR="000A6850" w:rsidRPr="004D70F4" w:rsidRDefault="000A6850" w:rsidP="00D07441">
            <w:pPr>
              <w:pStyle w:val="TableText"/>
              <w:spacing w:before="0" w:after="0"/>
              <w:jc w:val="center"/>
              <w:rPr>
                <w:i/>
                <w:iCs/>
              </w:rPr>
            </w:pPr>
            <w:r w:rsidRPr="004D70F4">
              <w:rPr>
                <w:i/>
                <w:iCs/>
              </w:rPr>
              <w:t>0.361</w:t>
            </w:r>
          </w:p>
        </w:tc>
        <w:tc>
          <w:tcPr>
            <w:tcW w:w="1507" w:type="dxa"/>
            <w:shd w:val="clear" w:color="auto" w:fill="auto"/>
            <w:vAlign w:val="center"/>
          </w:tcPr>
          <w:p w14:paraId="7E4A034E" w14:textId="2F99B3AD" w:rsidR="000A6850" w:rsidRPr="004D70F4" w:rsidRDefault="000A6850" w:rsidP="00D07441">
            <w:pPr>
              <w:pStyle w:val="TableText"/>
              <w:spacing w:before="0" w:after="0"/>
              <w:jc w:val="center"/>
            </w:pPr>
            <w:r w:rsidRPr="004D70F4">
              <w:t>$</w:t>
            </w:r>
            <w:r w:rsidR="0090680E" w:rsidRPr="0090680E">
              <w:rPr>
                <w:b/>
                <w:bCs/>
              </w:rPr>
              <w:t>redacted</w:t>
            </w:r>
            <w:r w:rsidRPr="0090680E">
              <w:rPr>
                <w:vertAlign w:val="superscript"/>
              </w:rPr>
              <w:t>3</w:t>
            </w:r>
          </w:p>
        </w:tc>
        <w:tc>
          <w:tcPr>
            <w:tcW w:w="1183" w:type="dxa"/>
            <w:shd w:val="clear" w:color="auto" w:fill="auto"/>
          </w:tcPr>
          <w:p w14:paraId="786DBA6C" w14:textId="368ED2B5" w:rsidR="000A6850" w:rsidRPr="00C37DD7" w:rsidRDefault="0090680E" w:rsidP="00D07441">
            <w:pPr>
              <w:pStyle w:val="TableText"/>
              <w:spacing w:before="0" w:after="0"/>
              <w:jc w:val="center"/>
              <w:rPr>
                <w:i/>
                <w:iCs/>
              </w:rPr>
            </w:pPr>
            <w:r w:rsidRPr="0090680E">
              <w:rPr>
                <w:b/>
                <w:bCs/>
                <w:i/>
                <w:iCs/>
                <w:color w:val="000000"/>
              </w:rPr>
              <w:t>redacted</w:t>
            </w:r>
          </w:p>
        </w:tc>
      </w:tr>
      <w:tr w:rsidR="000A6850" w:rsidRPr="004D70F4" w14:paraId="73342F16" w14:textId="77777777" w:rsidTr="0090680E">
        <w:tc>
          <w:tcPr>
            <w:tcW w:w="3889" w:type="dxa"/>
            <w:tcBorders>
              <w:bottom w:val="single" w:sz="4" w:space="0" w:color="auto"/>
            </w:tcBorders>
          </w:tcPr>
          <w:p w14:paraId="202AB770" w14:textId="77777777" w:rsidR="000A6850" w:rsidRPr="004D70F4" w:rsidRDefault="000A6850" w:rsidP="00D07441">
            <w:pPr>
              <w:pStyle w:val="TableText"/>
              <w:spacing w:before="0" w:after="0"/>
            </w:pPr>
            <w:r w:rsidRPr="004D70F4">
              <w:t>Extended OS follow-up (Robson 2023) used to extrapolate OS</w:t>
            </w:r>
          </w:p>
        </w:tc>
        <w:tc>
          <w:tcPr>
            <w:tcW w:w="1493" w:type="dxa"/>
            <w:tcBorders>
              <w:bottom w:val="single" w:sz="4" w:space="0" w:color="auto"/>
            </w:tcBorders>
            <w:shd w:val="clear" w:color="auto" w:fill="auto"/>
            <w:vAlign w:val="center"/>
          </w:tcPr>
          <w:p w14:paraId="21CBFDAF" w14:textId="203641F2" w:rsidR="000A6850" w:rsidRPr="0035562A" w:rsidRDefault="000A6850" w:rsidP="00D07441">
            <w:pPr>
              <w:pStyle w:val="TableText"/>
              <w:spacing w:before="0" w:after="0"/>
              <w:jc w:val="center"/>
              <w:rPr>
                <w:i/>
                <w:iCs/>
              </w:rPr>
            </w:pPr>
            <w:r w:rsidRPr="0035562A">
              <w:rPr>
                <w:i/>
                <w:iCs/>
              </w:rPr>
              <w:t>$</w:t>
            </w:r>
            <w:r w:rsidR="0090680E" w:rsidRPr="0090680E">
              <w:rPr>
                <w:b/>
                <w:bCs/>
              </w:rPr>
              <w:t>redacted</w:t>
            </w:r>
          </w:p>
        </w:tc>
        <w:tc>
          <w:tcPr>
            <w:tcW w:w="1137" w:type="dxa"/>
            <w:tcBorders>
              <w:bottom w:val="single" w:sz="4" w:space="0" w:color="auto"/>
            </w:tcBorders>
            <w:vAlign w:val="center"/>
          </w:tcPr>
          <w:p w14:paraId="29CFECAE" w14:textId="77777777" w:rsidR="000A6850" w:rsidRPr="004D70F4" w:rsidRDefault="000A6850" w:rsidP="00D07441">
            <w:pPr>
              <w:pStyle w:val="TableText"/>
              <w:spacing w:before="0" w:after="0"/>
              <w:jc w:val="center"/>
              <w:rPr>
                <w:i/>
                <w:iCs/>
              </w:rPr>
            </w:pPr>
            <w:r w:rsidRPr="004D70F4">
              <w:rPr>
                <w:i/>
                <w:iCs/>
              </w:rPr>
              <w:t>0.397</w:t>
            </w:r>
          </w:p>
        </w:tc>
        <w:tc>
          <w:tcPr>
            <w:tcW w:w="1507" w:type="dxa"/>
            <w:tcBorders>
              <w:bottom w:val="single" w:sz="4" w:space="0" w:color="auto"/>
            </w:tcBorders>
            <w:shd w:val="clear" w:color="auto" w:fill="auto"/>
            <w:vAlign w:val="center"/>
          </w:tcPr>
          <w:p w14:paraId="28B79B57" w14:textId="5C8CB2BC" w:rsidR="000A6850" w:rsidRPr="004D70F4" w:rsidRDefault="000A6850" w:rsidP="00D07441">
            <w:pPr>
              <w:pStyle w:val="TableText"/>
              <w:spacing w:before="0" w:after="0"/>
              <w:jc w:val="center"/>
            </w:pPr>
            <w:r w:rsidRPr="004D70F4">
              <w:t>$</w:t>
            </w:r>
            <w:r w:rsidR="0090680E" w:rsidRPr="0090680E">
              <w:rPr>
                <w:b/>
                <w:bCs/>
              </w:rPr>
              <w:t>redacted</w:t>
            </w:r>
            <w:r w:rsidRPr="0090680E">
              <w:rPr>
                <w:vertAlign w:val="superscript"/>
              </w:rPr>
              <w:t>3</w:t>
            </w:r>
          </w:p>
        </w:tc>
        <w:tc>
          <w:tcPr>
            <w:tcW w:w="1183" w:type="dxa"/>
            <w:tcBorders>
              <w:bottom w:val="single" w:sz="4" w:space="0" w:color="auto"/>
            </w:tcBorders>
            <w:shd w:val="clear" w:color="auto" w:fill="auto"/>
          </w:tcPr>
          <w:p w14:paraId="26CF2110" w14:textId="1CB1BDA0" w:rsidR="000A6850" w:rsidRPr="00C37DD7" w:rsidRDefault="0090680E" w:rsidP="00D07441">
            <w:pPr>
              <w:pStyle w:val="TableText"/>
              <w:spacing w:before="0" w:after="0"/>
              <w:jc w:val="center"/>
              <w:rPr>
                <w:i/>
                <w:iCs/>
              </w:rPr>
            </w:pPr>
            <w:r w:rsidRPr="0090680E">
              <w:rPr>
                <w:b/>
                <w:bCs/>
                <w:i/>
                <w:iCs/>
                <w:color w:val="000000"/>
              </w:rPr>
              <w:t>redacted</w:t>
            </w:r>
          </w:p>
        </w:tc>
      </w:tr>
      <w:tr w:rsidR="000A6850" w:rsidRPr="004D70F4" w14:paraId="74EC9FF7" w14:textId="77777777" w:rsidTr="0090680E">
        <w:tc>
          <w:tcPr>
            <w:tcW w:w="3889" w:type="dxa"/>
            <w:tcBorders>
              <w:right w:val="nil"/>
            </w:tcBorders>
          </w:tcPr>
          <w:p w14:paraId="33FF5BC0" w14:textId="77777777" w:rsidR="000A6850" w:rsidRPr="004D70F4" w:rsidRDefault="000A6850" w:rsidP="00D07441">
            <w:pPr>
              <w:pStyle w:val="TableText"/>
              <w:spacing w:before="0" w:after="0"/>
            </w:pPr>
            <w:r w:rsidRPr="004D70F4">
              <w:t>Utilities</w:t>
            </w:r>
          </w:p>
        </w:tc>
        <w:tc>
          <w:tcPr>
            <w:tcW w:w="1493" w:type="dxa"/>
            <w:tcBorders>
              <w:left w:val="nil"/>
              <w:right w:val="nil"/>
            </w:tcBorders>
            <w:shd w:val="clear" w:color="auto" w:fill="auto"/>
            <w:vAlign w:val="center"/>
          </w:tcPr>
          <w:p w14:paraId="666F98DC" w14:textId="77777777" w:rsidR="000A6850" w:rsidRPr="0035562A" w:rsidRDefault="000A6850" w:rsidP="00D07441">
            <w:pPr>
              <w:pStyle w:val="TableText"/>
              <w:spacing w:before="0" w:after="0"/>
              <w:jc w:val="center"/>
              <w:rPr>
                <w:i/>
                <w:iCs/>
              </w:rPr>
            </w:pPr>
          </w:p>
        </w:tc>
        <w:tc>
          <w:tcPr>
            <w:tcW w:w="1137" w:type="dxa"/>
            <w:tcBorders>
              <w:left w:val="nil"/>
              <w:right w:val="nil"/>
            </w:tcBorders>
            <w:vAlign w:val="center"/>
          </w:tcPr>
          <w:p w14:paraId="62480E08" w14:textId="77777777" w:rsidR="000A6850" w:rsidRPr="004D70F4" w:rsidRDefault="000A6850" w:rsidP="00D07441">
            <w:pPr>
              <w:pStyle w:val="TableText"/>
              <w:spacing w:before="0" w:after="0"/>
              <w:jc w:val="center"/>
              <w:rPr>
                <w:i/>
                <w:iCs/>
              </w:rPr>
            </w:pPr>
          </w:p>
        </w:tc>
        <w:tc>
          <w:tcPr>
            <w:tcW w:w="1507" w:type="dxa"/>
            <w:tcBorders>
              <w:left w:val="nil"/>
              <w:right w:val="nil"/>
            </w:tcBorders>
            <w:shd w:val="clear" w:color="auto" w:fill="auto"/>
            <w:vAlign w:val="center"/>
          </w:tcPr>
          <w:p w14:paraId="014F2825" w14:textId="77777777" w:rsidR="000A6850" w:rsidRPr="004D70F4" w:rsidRDefault="000A6850" w:rsidP="00D07441">
            <w:pPr>
              <w:pStyle w:val="TableText"/>
              <w:spacing w:before="0" w:after="0"/>
              <w:jc w:val="center"/>
              <w:rPr>
                <w:szCs w:val="20"/>
              </w:rPr>
            </w:pPr>
          </w:p>
        </w:tc>
        <w:tc>
          <w:tcPr>
            <w:tcW w:w="1183" w:type="dxa"/>
            <w:tcBorders>
              <w:left w:val="nil"/>
            </w:tcBorders>
            <w:shd w:val="clear" w:color="auto" w:fill="auto"/>
          </w:tcPr>
          <w:p w14:paraId="54C3C1BF" w14:textId="68D4F83F" w:rsidR="000A6850" w:rsidRPr="00C37DD7" w:rsidRDefault="000A6850" w:rsidP="00D07441">
            <w:pPr>
              <w:pStyle w:val="TableText"/>
              <w:spacing w:before="0" w:after="0"/>
              <w:jc w:val="center"/>
              <w:rPr>
                <w:i/>
                <w:iCs/>
                <w:szCs w:val="20"/>
              </w:rPr>
            </w:pPr>
          </w:p>
        </w:tc>
      </w:tr>
      <w:tr w:rsidR="000A6850" w:rsidRPr="004D70F4" w14:paraId="61673C0B" w14:textId="77777777" w:rsidTr="0090680E">
        <w:tc>
          <w:tcPr>
            <w:tcW w:w="3889" w:type="dxa"/>
          </w:tcPr>
          <w:p w14:paraId="34C1BB65" w14:textId="77777777" w:rsidR="000A6850" w:rsidRPr="004D70F4" w:rsidRDefault="000A6850" w:rsidP="00D07441">
            <w:pPr>
              <w:pStyle w:val="TableText"/>
              <w:spacing w:before="0" w:after="0"/>
            </w:pPr>
            <w:r w:rsidRPr="004D70F4">
              <w:t>Removal of treatment-specific utility scores in both PFS1 and PFS2</w:t>
            </w:r>
          </w:p>
        </w:tc>
        <w:tc>
          <w:tcPr>
            <w:tcW w:w="1493" w:type="dxa"/>
            <w:shd w:val="clear" w:color="auto" w:fill="auto"/>
            <w:vAlign w:val="center"/>
          </w:tcPr>
          <w:p w14:paraId="073EE47E" w14:textId="69C4691B" w:rsidR="000A6850" w:rsidRPr="0035562A" w:rsidRDefault="000A6850"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12D05E3D" w14:textId="77777777" w:rsidR="000A6850" w:rsidRPr="004D70F4" w:rsidRDefault="000A6850" w:rsidP="00D07441">
            <w:pPr>
              <w:pStyle w:val="TableText"/>
              <w:spacing w:before="0" w:after="0"/>
              <w:jc w:val="center"/>
              <w:rPr>
                <w:i/>
                <w:iCs/>
              </w:rPr>
            </w:pPr>
            <w:r w:rsidRPr="004D70F4">
              <w:rPr>
                <w:i/>
                <w:iCs/>
              </w:rPr>
              <w:t>0.311</w:t>
            </w:r>
          </w:p>
        </w:tc>
        <w:tc>
          <w:tcPr>
            <w:tcW w:w="1507" w:type="dxa"/>
            <w:shd w:val="clear" w:color="auto" w:fill="auto"/>
            <w:vAlign w:val="center"/>
          </w:tcPr>
          <w:p w14:paraId="5EBC00EE" w14:textId="2F0123AD" w:rsidR="000A6850" w:rsidRPr="004D70F4" w:rsidRDefault="000A6850" w:rsidP="00D07441">
            <w:pPr>
              <w:pStyle w:val="TableText"/>
              <w:spacing w:before="0" w:after="0"/>
              <w:jc w:val="center"/>
            </w:pPr>
            <w:r w:rsidRPr="004D70F4">
              <w:t>$</w:t>
            </w:r>
            <w:r w:rsidR="0090680E" w:rsidRPr="0090680E">
              <w:rPr>
                <w:b/>
                <w:bCs/>
              </w:rPr>
              <w:t>redacted</w:t>
            </w:r>
            <w:r w:rsidRPr="0090680E">
              <w:rPr>
                <w:vertAlign w:val="superscript"/>
              </w:rPr>
              <w:t>4</w:t>
            </w:r>
          </w:p>
        </w:tc>
        <w:tc>
          <w:tcPr>
            <w:tcW w:w="1183" w:type="dxa"/>
            <w:shd w:val="clear" w:color="auto" w:fill="auto"/>
          </w:tcPr>
          <w:p w14:paraId="6D7CA232" w14:textId="59C268C8" w:rsidR="000A6850" w:rsidRPr="00C37DD7" w:rsidRDefault="0090680E" w:rsidP="00D07441">
            <w:pPr>
              <w:pStyle w:val="TableText"/>
              <w:spacing w:before="0" w:after="0"/>
              <w:jc w:val="center"/>
              <w:rPr>
                <w:i/>
                <w:iCs/>
              </w:rPr>
            </w:pPr>
            <w:r w:rsidRPr="0090680E">
              <w:rPr>
                <w:b/>
                <w:bCs/>
                <w:i/>
                <w:iCs/>
                <w:color w:val="000000"/>
              </w:rPr>
              <w:t>redacted</w:t>
            </w:r>
          </w:p>
        </w:tc>
      </w:tr>
      <w:tr w:rsidR="000A6850" w:rsidRPr="004D70F4" w14:paraId="034F9207" w14:textId="77777777" w:rsidTr="0090680E">
        <w:tc>
          <w:tcPr>
            <w:tcW w:w="3889" w:type="dxa"/>
          </w:tcPr>
          <w:p w14:paraId="507750C8" w14:textId="77777777" w:rsidR="000A6850" w:rsidRPr="004D70F4" w:rsidRDefault="000A6850" w:rsidP="00D07441">
            <w:pPr>
              <w:pStyle w:val="TableText"/>
              <w:spacing w:before="0" w:after="0"/>
            </w:pPr>
            <w:r w:rsidRPr="004D70F4">
              <w:t>Removal of treatment-specific utility scores in PFS2 only</w:t>
            </w:r>
          </w:p>
        </w:tc>
        <w:tc>
          <w:tcPr>
            <w:tcW w:w="1493" w:type="dxa"/>
            <w:shd w:val="clear" w:color="auto" w:fill="auto"/>
            <w:vAlign w:val="center"/>
          </w:tcPr>
          <w:p w14:paraId="0C62D9E2" w14:textId="123A9EB2" w:rsidR="000A6850" w:rsidRPr="0035562A" w:rsidRDefault="000A6850"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474D62AE" w14:textId="77777777" w:rsidR="000A6850" w:rsidRPr="004D70F4" w:rsidRDefault="000A6850" w:rsidP="00D07441">
            <w:pPr>
              <w:pStyle w:val="TableText"/>
              <w:spacing w:before="0" w:after="0"/>
              <w:jc w:val="center"/>
              <w:rPr>
                <w:i/>
                <w:iCs/>
              </w:rPr>
            </w:pPr>
            <w:r w:rsidRPr="004D70F4">
              <w:rPr>
                <w:i/>
                <w:iCs/>
              </w:rPr>
              <w:t>0.355</w:t>
            </w:r>
          </w:p>
        </w:tc>
        <w:tc>
          <w:tcPr>
            <w:tcW w:w="1507" w:type="dxa"/>
            <w:shd w:val="clear" w:color="auto" w:fill="auto"/>
            <w:vAlign w:val="center"/>
          </w:tcPr>
          <w:p w14:paraId="7ECF9429" w14:textId="6DE6C490" w:rsidR="000A6850" w:rsidRPr="004D70F4" w:rsidRDefault="000A6850" w:rsidP="00D07441">
            <w:pPr>
              <w:pStyle w:val="TableText"/>
              <w:spacing w:before="0" w:after="0"/>
              <w:jc w:val="center"/>
            </w:pPr>
            <w:r w:rsidRPr="004D70F4">
              <w:t>$</w:t>
            </w:r>
            <w:r w:rsidR="0090680E" w:rsidRPr="0090680E">
              <w:rPr>
                <w:b/>
                <w:bCs/>
              </w:rPr>
              <w:t>redacted</w:t>
            </w:r>
            <w:r w:rsidRPr="0090680E">
              <w:rPr>
                <w:vertAlign w:val="superscript"/>
              </w:rPr>
              <w:t>3</w:t>
            </w:r>
          </w:p>
        </w:tc>
        <w:tc>
          <w:tcPr>
            <w:tcW w:w="1183" w:type="dxa"/>
            <w:shd w:val="clear" w:color="auto" w:fill="auto"/>
          </w:tcPr>
          <w:p w14:paraId="7C73D8C2" w14:textId="490FC777" w:rsidR="000A6850" w:rsidRPr="00C37DD7" w:rsidRDefault="0090680E" w:rsidP="00D07441">
            <w:pPr>
              <w:pStyle w:val="TableText"/>
              <w:spacing w:before="0" w:after="0"/>
              <w:jc w:val="center"/>
              <w:rPr>
                <w:i/>
                <w:iCs/>
              </w:rPr>
            </w:pPr>
            <w:r w:rsidRPr="0090680E">
              <w:rPr>
                <w:b/>
                <w:bCs/>
                <w:i/>
                <w:iCs/>
                <w:color w:val="000000"/>
              </w:rPr>
              <w:t>redacted</w:t>
            </w:r>
          </w:p>
        </w:tc>
      </w:tr>
      <w:tr w:rsidR="000A6850" w:rsidRPr="004D70F4" w14:paraId="2E86F388" w14:textId="77777777" w:rsidTr="0090680E">
        <w:tc>
          <w:tcPr>
            <w:tcW w:w="3889" w:type="dxa"/>
            <w:tcBorders>
              <w:bottom w:val="single" w:sz="4" w:space="0" w:color="auto"/>
            </w:tcBorders>
          </w:tcPr>
          <w:p w14:paraId="1EA1BA49" w14:textId="77777777" w:rsidR="000A6850" w:rsidRPr="004D70F4" w:rsidRDefault="000A6850" w:rsidP="00D07441">
            <w:pPr>
              <w:pStyle w:val="TableText"/>
              <w:spacing w:before="0" w:after="0"/>
              <w:rPr>
                <w:i/>
                <w:iCs/>
              </w:rPr>
            </w:pPr>
            <w:r w:rsidRPr="004D70F4">
              <w:rPr>
                <w:i/>
                <w:iCs/>
              </w:rPr>
              <w:t>Utility in PFS2 set to same as PD</w:t>
            </w:r>
          </w:p>
        </w:tc>
        <w:tc>
          <w:tcPr>
            <w:tcW w:w="1493" w:type="dxa"/>
            <w:tcBorders>
              <w:bottom w:val="single" w:sz="4" w:space="0" w:color="auto"/>
            </w:tcBorders>
            <w:shd w:val="clear" w:color="auto" w:fill="auto"/>
            <w:vAlign w:val="center"/>
          </w:tcPr>
          <w:p w14:paraId="3D744EA6" w14:textId="7D640382" w:rsidR="000A6850" w:rsidRPr="0035562A" w:rsidRDefault="000A6850" w:rsidP="00D07441">
            <w:pPr>
              <w:pStyle w:val="TableText"/>
              <w:spacing w:before="0" w:after="0"/>
              <w:jc w:val="center"/>
              <w:rPr>
                <w:i/>
                <w:iCs/>
              </w:rPr>
            </w:pPr>
            <w:r w:rsidRPr="0035562A">
              <w:rPr>
                <w:i/>
                <w:iCs/>
              </w:rPr>
              <w:t>$</w:t>
            </w:r>
            <w:r w:rsidR="0090680E" w:rsidRPr="0090680E">
              <w:rPr>
                <w:b/>
                <w:bCs/>
              </w:rPr>
              <w:t>redacted</w:t>
            </w:r>
          </w:p>
        </w:tc>
        <w:tc>
          <w:tcPr>
            <w:tcW w:w="1137" w:type="dxa"/>
            <w:tcBorders>
              <w:bottom w:val="single" w:sz="4" w:space="0" w:color="auto"/>
            </w:tcBorders>
            <w:vAlign w:val="center"/>
          </w:tcPr>
          <w:p w14:paraId="31FA15C4" w14:textId="77777777" w:rsidR="000A6850" w:rsidRPr="004D70F4" w:rsidRDefault="000A6850" w:rsidP="00D07441">
            <w:pPr>
              <w:pStyle w:val="TableText"/>
              <w:spacing w:before="0" w:after="0"/>
              <w:jc w:val="center"/>
              <w:rPr>
                <w:i/>
                <w:iCs/>
              </w:rPr>
            </w:pPr>
            <w:r w:rsidRPr="004D70F4">
              <w:rPr>
                <w:i/>
                <w:iCs/>
              </w:rPr>
              <w:t>0.308</w:t>
            </w:r>
          </w:p>
        </w:tc>
        <w:tc>
          <w:tcPr>
            <w:tcW w:w="1507" w:type="dxa"/>
            <w:tcBorders>
              <w:bottom w:val="single" w:sz="4" w:space="0" w:color="auto"/>
            </w:tcBorders>
            <w:shd w:val="clear" w:color="auto" w:fill="auto"/>
            <w:vAlign w:val="center"/>
          </w:tcPr>
          <w:p w14:paraId="6221C369" w14:textId="00E785EC" w:rsidR="000A6850" w:rsidRPr="004D70F4" w:rsidRDefault="000A6850" w:rsidP="00D07441">
            <w:pPr>
              <w:pStyle w:val="TableText"/>
              <w:spacing w:before="0" w:after="0"/>
              <w:jc w:val="center"/>
              <w:rPr>
                <w:i/>
                <w:iCs/>
              </w:rPr>
            </w:pPr>
            <w:r w:rsidRPr="004D70F4">
              <w:rPr>
                <w:i/>
                <w:iCs/>
              </w:rPr>
              <w:t>$</w:t>
            </w:r>
            <w:r w:rsidR="0090680E" w:rsidRPr="0090680E">
              <w:rPr>
                <w:b/>
                <w:bCs/>
              </w:rPr>
              <w:t>redacted</w:t>
            </w:r>
            <w:r w:rsidRPr="0090680E">
              <w:rPr>
                <w:vertAlign w:val="superscript"/>
              </w:rPr>
              <w:t>4</w:t>
            </w:r>
          </w:p>
        </w:tc>
        <w:tc>
          <w:tcPr>
            <w:tcW w:w="1183" w:type="dxa"/>
            <w:tcBorders>
              <w:bottom w:val="single" w:sz="4" w:space="0" w:color="auto"/>
            </w:tcBorders>
            <w:shd w:val="clear" w:color="auto" w:fill="auto"/>
          </w:tcPr>
          <w:p w14:paraId="445290B9" w14:textId="4D094D3B" w:rsidR="000A6850" w:rsidRPr="00C37DD7" w:rsidRDefault="0090680E" w:rsidP="00D07441">
            <w:pPr>
              <w:pStyle w:val="TableText"/>
              <w:spacing w:before="0" w:after="0"/>
              <w:jc w:val="center"/>
              <w:rPr>
                <w:i/>
                <w:iCs/>
              </w:rPr>
            </w:pPr>
            <w:r w:rsidRPr="0090680E">
              <w:rPr>
                <w:b/>
                <w:bCs/>
                <w:i/>
                <w:iCs/>
                <w:color w:val="000000"/>
              </w:rPr>
              <w:t>redacted</w:t>
            </w:r>
          </w:p>
        </w:tc>
      </w:tr>
      <w:tr w:rsidR="000A6850" w:rsidRPr="004D70F4" w14:paraId="1A8A1667" w14:textId="77777777" w:rsidTr="0090680E">
        <w:tc>
          <w:tcPr>
            <w:tcW w:w="3889" w:type="dxa"/>
            <w:tcBorders>
              <w:right w:val="nil"/>
            </w:tcBorders>
          </w:tcPr>
          <w:p w14:paraId="0A397895" w14:textId="77777777" w:rsidR="000A6850" w:rsidRPr="004D70F4" w:rsidRDefault="000A6850" w:rsidP="00D07441">
            <w:pPr>
              <w:pStyle w:val="TableText"/>
              <w:spacing w:before="0" w:after="0"/>
            </w:pPr>
            <w:r w:rsidRPr="004D70F4">
              <w:t>Costs</w:t>
            </w:r>
          </w:p>
        </w:tc>
        <w:tc>
          <w:tcPr>
            <w:tcW w:w="1493" w:type="dxa"/>
            <w:tcBorders>
              <w:left w:val="nil"/>
              <w:right w:val="nil"/>
            </w:tcBorders>
            <w:shd w:val="clear" w:color="auto" w:fill="auto"/>
            <w:vAlign w:val="center"/>
          </w:tcPr>
          <w:p w14:paraId="59D3AD3E" w14:textId="77777777" w:rsidR="000A6850" w:rsidRPr="0035562A" w:rsidRDefault="000A6850" w:rsidP="00D07441">
            <w:pPr>
              <w:pStyle w:val="TableText"/>
              <w:spacing w:before="0" w:after="0"/>
              <w:jc w:val="center"/>
              <w:rPr>
                <w:i/>
                <w:iCs/>
              </w:rPr>
            </w:pPr>
          </w:p>
        </w:tc>
        <w:tc>
          <w:tcPr>
            <w:tcW w:w="1137" w:type="dxa"/>
            <w:tcBorders>
              <w:left w:val="nil"/>
              <w:right w:val="nil"/>
            </w:tcBorders>
            <w:vAlign w:val="center"/>
          </w:tcPr>
          <w:p w14:paraId="28A9F772" w14:textId="77777777" w:rsidR="000A6850" w:rsidRPr="004D70F4" w:rsidRDefault="000A6850" w:rsidP="00D07441">
            <w:pPr>
              <w:pStyle w:val="TableText"/>
              <w:spacing w:before="0" w:after="0"/>
              <w:jc w:val="center"/>
              <w:rPr>
                <w:i/>
                <w:iCs/>
              </w:rPr>
            </w:pPr>
          </w:p>
        </w:tc>
        <w:tc>
          <w:tcPr>
            <w:tcW w:w="1507" w:type="dxa"/>
            <w:tcBorders>
              <w:left w:val="nil"/>
              <w:right w:val="nil"/>
            </w:tcBorders>
            <w:shd w:val="clear" w:color="auto" w:fill="auto"/>
            <w:vAlign w:val="center"/>
          </w:tcPr>
          <w:p w14:paraId="1B8694AD" w14:textId="77777777" w:rsidR="000A6850" w:rsidRPr="004D70F4" w:rsidRDefault="000A6850" w:rsidP="00D07441">
            <w:pPr>
              <w:pStyle w:val="TableText"/>
              <w:spacing w:before="0" w:after="0"/>
              <w:jc w:val="center"/>
              <w:rPr>
                <w:szCs w:val="20"/>
              </w:rPr>
            </w:pPr>
          </w:p>
        </w:tc>
        <w:tc>
          <w:tcPr>
            <w:tcW w:w="1183" w:type="dxa"/>
            <w:tcBorders>
              <w:left w:val="nil"/>
            </w:tcBorders>
            <w:shd w:val="clear" w:color="auto" w:fill="auto"/>
          </w:tcPr>
          <w:p w14:paraId="15027689" w14:textId="34EDB0D3" w:rsidR="000A6850" w:rsidRPr="00C37DD7" w:rsidRDefault="000A6850" w:rsidP="00D07441">
            <w:pPr>
              <w:pStyle w:val="TableText"/>
              <w:spacing w:before="0" w:after="0"/>
              <w:jc w:val="center"/>
              <w:rPr>
                <w:i/>
                <w:iCs/>
                <w:szCs w:val="20"/>
              </w:rPr>
            </w:pPr>
          </w:p>
        </w:tc>
      </w:tr>
      <w:tr w:rsidR="000A6850" w:rsidRPr="004D70F4" w14:paraId="04792988" w14:textId="77777777" w:rsidTr="0090680E">
        <w:tc>
          <w:tcPr>
            <w:tcW w:w="3889" w:type="dxa"/>
          </w:tcPr>
          <w:p w14:paraId="3E8A1C79" w14:textId="77777777" w:rsidR="000A6850" w:rsidRPr="00F738F0" w:rsidRDefault="000A6850" w:rsidP="00D07441">
            <w:pPr>
              <w:pStyle w:val="TableText"/>
              <w:spacing w:before="0" w:after="0"/>
              <w:rPr>
                <w:i/>
                <w:iCs/>
              </w:rPr>
            </w:pPr>
            <w:r w:rsidRPr="00F738F0">
              <w:rPr>
                <w:i/>
                <w:iCs/>
              </w:rPr>
              <w:t xml:space="preserve">Account for BRCAm prevalence in testing </w:t>
            </w:r>
            <w:r w:rsidRPr="00F738F0">
              <w:rPr>
                <w:i/>
                <w:iCs/>
                <w:vertAlign w:val="superscript"/>
              </w:rPr>
              <w:t>a</w:t>
            </w:r>
          </w:p>
        </w:tc>
        <w:tc>
          <w:tcPr>
            <w:tcW w:w="1493" w:type="dxa"/>
            <w:shd w:val="clear" w:color="auto" w:fill="auto"/>
            <w:vAlign w:val="center"/>
          </w:tcPr>
          <w:p w14:paraId="53732A7E" w14:textId="78E4A780" w:rsidR="000A6850" w:rsidRPr="0035562A" w:rsidRDefault="000A6850" w:rsidP="00D07441">
            <w:pPr>
              <w:pStyle w:val="TableText"/>
              <w:spacing w:before="0" w:after="0"/>
              <w:jc w:val="center"/>
              <w:rPr>
                <w:i/>
                <w:iCs/>
              </w:rPr>
            </w:pPr>
            <w:r w:rsidRPr="0035562A">
              <w:rPr>
                <w:i/>
                <w:iCs/>
              </w:rPr>
              <w:t>$</w:t>
            </w:r>
            <w:r w:rsidR="0090680E" w:rsidRPr="0090680E">
              <w:rPr>
                <w:b/>
                <w:bCs/>
              </w:rPr>
              <w:t>redacted</w:t>
            </w:r>
          </w:p>
        </w:tc>
        <w:tc>
          <w:tcPr>
            <w:tcW w:w="1137" w:type="dxa"/>
            <w:vAlign w:val="center"/>
          </w:tcPr>
          <w:p w14:paraId="04320A21" w14:textId="77777777" w:rsidR="000A6850" w:rsidRPr="00F738F0" w:rsidRDefault="000A6850" w:rsidP="00D07441">
            <w:pPr>
              <w:pStyle w:val="TableText"/>
              <w:spacing w:before="0" w:after="0"/>
              <w:jc w:val="center"/>
              <w:rPr>
                <w:i/>
                <w:iCs/>
              </w:rPr>
            </w:pPr>
            <w:r w:rsidRPr="00F738F0">
              <w:rPr>
                <w:i/>
                <w:iCs/>
              </w:rPr>
              <w:t>0.383</w:t>
            </w:r>
          </w:p>
        </w:tc>
        <w:tc>
          <w:tcPr>
            <w:tcW w:w="1507" w:type="dxa"/>
            <w:shd w:val="clear" w:color="auto" w:fill="auto"/>
            <w:vAlign w:val="center"/>
          </w:tcPr>
          <w:p w14:paraId="0EBB4C1D" w14:textId="76FAC159" w:rsidR="000A6850" w:rsidRPr="00F738F0" w:rsidRDefault="000A6850" w:rsidP="00D07441">
            <w:pPr>
              <w:pStyle w:val="TableText"/>
              <w:spacing w:before="0" w:after="0"/>
              <w:jc w:val="center"/>
              <w:rPr>
                <w:i/>
                <w:iCs/>
              </w:rPr>
            </w:pPr>
            <w:r w:rsidRPr="00F738F0">
              <w:rPr>
                <w:i/>
                <w:iCs/>
                <w:szCs w:val="20"/>
              </w:rPr>
              <w:t>$</w:t>
            </w:r>
            <w:r w:rsidR="0090680E" w:rsidRPr="0090680E">
              <w:rPr>
                <w:b/>
                <w:bCs/>
              </w:rPr>
              <w:t>redacted</w:t>
            </w:r>
            <w:r w:rsidRPr="0090680E">
              <w:rPr>
                <w:vertAlign w:val="superscript"/>
              </w:rPr>
              <w:t>3</w:t>
            </w:r>
          </w:p>
        </w:tc>
        <w:tc>
          <w:tcPr>
            <w:tcW w:w="1183" w:type="dxa"/>
            <w:shd w:val="clear" w:color="auto" w:fill="auto"/>
          </w:tcPr>
          <w:p w14:paraId="4263A9E2" w14:textId="0CD86A3F" w:rsidR="000A6850" w:rsidRPr="00C37DD7" w:rsidRDefault="0090680E" w:rsidP="00D07441">
            <w:pPr>
              <w:pStyle w:val="TableText"/>
              <w:spacing w:before="0" w:after="0"/>
              <w:jc w:val="center"/>
              <w:rPr>
                <w:i/>
                <w:iCs/>
              </w:rPr>
            </w:pPr>
            <w:r w:rsidRPr="0090680E">
              <w:rPr>
                <w:b/>
                <w:bCs/>
                <w:i/>
                <w:iCs/>
                <w:color w:val="000000"/>
              </w:rPr>
              <w:t>redacted</w:t>
            </w:r>
          </w:p>
        </w:tc>
      </w:tr>
      <w:tr w:rsidR="000A6850" w:rsidRPr="004D70F4" w14:paraId="5DFDC5BA" w14:textId="77777777" w:rsidTr="0090680E">
        <w:tc>
          <w:tcPr>
            <w:tcW w:w="3889" w:type="dxa"/>
          </w:tcPr>
          <w:p w14:paraId="373B057F" w14:textId="77777777" w:rsidR="000A6850" w:rsidRPr="004D70F4" w:rsidRDefault="000A6850" w:rsidP="00D07441">
            <w:pPr>
              <w:pStyle w:val="TableText"/>
              <w:spacing w:before="0" w:after="0"/>
            </w:pPr>
            <w:r w:rsidRPr="004D70F4">
              <w:rPr>
                <w:i/>
                <w:iCs/>
              </w:rPr>
              <w:t>Using time in PFS1 to inform treatment duration (olaparib: 11.85 months, chemotherapy: 8.81cycles/6.08 months)</w:t>
            </w:r>
          </w:p>
        </w:tc>
        <w:tc>
          <w:tcPr>
            <w:tcW w:w="1493" w:type="dxa"/>
            <w:shd w:val="clear" w:color="auto" w:fill="auto"/>
            <w:vAlign w:val="center"/>
          </w:tcPr>
          <w:p w14:paraId="6E4EB0BA" w14:textId="6570B08D" w:rsidR="000A6850" w:rsidRPr="0035562A" w:rsidRDefault="000A6850" w:rsidP="00D07441">
            <w:pPr>
              <w:pStyle w:val="TableText"/>
              <w:spacing w:before="0" w:after="0"/>
              <w:jc w:val="center"/>
            </w:pPr>
            <w:r w:rsidRPr="0035562A">
              <w:rPr>
                <w:i/>
                <w:iCs/>
              </w:rPr>
              <w:t>$</w:t>
            </w:r>
            <w:r w:rsidR="0090680E" w:rsidRPr="0090680E">
              <w:rPr>
                <w:b/>
                <w:bCs/>
              </w:rPr>
              <w:t>redacted</w:t>
            </w:r>
          </w:p>
        </w:tc>
        <w:tc>
          <w:tcPr>
            <w:tcW w:w="1137" w:type="dxa"/>
            <w:vAlign w:val="center"/>
          </w:tcPr>
          <w:p w14:paraId="5BDEB65F" w14:textId="77777777" w:rsidR="000A6850" w:rsidRPr="004D70F4" w:rsidRDefault="000A6850" w:rsidP="00D07441">
            <w:pPr>
              <w:pStyle w:val="TableText"/>
              <w:spacing w:before="0" w:after="0"/>
              <w:jc w:val="center"/>
            </w:pPr>
            <w:r w:rsidRPr="004D70F4">
              <w:t>0.282</w:t>
            </w:r>
          </w:p>
        </w:tc>
        <w:tc>
          <w:tcPr>
            <w:tcW w:w="1507" w:type="dxa"/>
            <w:shd w:val="clear" w:color="auto" w:fill="auto"/>
            <w:vAlign w:val="center"/>
          </w:tcPr>
          <w:p w14:paraId="0A073C72" w14:textId="2F31FDDF" w:rsidR="000A6850" w:rsidRPr="004D70F4" w:rsidRDefault="000A6850" w:rsidP="00D07441">
            <w:pPr>
              <w:pStyle w:val="TableText"/>
              <w:spacing w:before="0" w:after="0"/>
              <w:jc w:val="center"/>
            </w:pPr>
            <w:r w:rsidRPr="004D70F4">
              <w:rPr>
                <w:i/>
                <w:iCs/>
                <w:szCs w:val="20"/>
              </w:rPr>
              <w:t>$</w:t>
            </w:r>
            <w:r w:rsidR="0090680E" w:rsidRPr="0090680E">
              <w:rPr>
                <w:b/>
                <w:bCs/>
              </w:rPr>
              <w:t>redacted</w:t>
            </w:r>
            <w:r w:rsidRPr="0090680E">
              <w:rPr>
                <w:vertAlign w:val="superscript"/>
              </w:rPr>
              <w:t>3</w:t>
            </w:r>
          </w:p>
        </w:tc>
        <w:tc>
          <w:tcPr>
            <w:tcW w:w="1183" w:type="dxa"/>
            <w:shd w:val="clear" w:color="auto" w:fill="auto"/>
          </w:tcPr>
          <w:p w14:paraId="52A6A466" w14:textId="2BE51606" w:rsidR="000A6850" w:rsidRPr="00C37DD7" w:rsidRDefault="0090680E" w:rsidP="00D07441">
            <w:pPr>
              <w:pStyle w:val="TableText"/>
              <w:spacing w:before="0" w:after="0"/>
              <w:jc w:val="center"/>
              <w:rPr>
                <w:i/>
                <w:iCs/>
                <w:color w:val="000000"/>
              </w:rPr>
            </w:pPr>
            <w:r w:rsidRPr="0090680E">
              <w:rPr>
                <w:b/>
                <w:bCs/>
                <w:i/>
                <w:iCs/>
                <w:color w:val="000000"/>
              </w:rPr>
              <w:t>redacted</w:t>
            </w:r>
          </w:p>
        </w:tc>
      </w:tr>
      <w:tr w:rsidR="000A6850" w:rsidRPr="004D70F4" w14:paraId="3485E365" w14:textId="77777777" w:rsidTr="0090680E">
        <w:tc>
          <w:tcPr>
            <w:tcW w:w="3889" w:type="dxa"/>
          </w:tcPr>
          <w:p w14:paraId="6B976741" w14:textId="77777777" w:rsidR="000A6850" w:rsidRPr="004D70F4" w:rsidRDefault="000A6850" w:rsidP="00D07441">
            <w:pPr>
              <w:pStyle w:val="TableText"/>
              <w:spacing w:before="0" w:after="0"/>
              <w:rPr>
                <w:i/>
                <w:iCs/>
              </w:rPr>
            </w:pPr>
            <w:r w:rsidRPr="004D70F4">
              <w:rPr>
                <w:i/>
                <w:iCs/>
              </w:rPr>
              <w:t>Post progression targeted therapy use set to 0%</w:t>
            </w:r>
          </w:p>
        </w:tc>
        <w:tc>
          <w:tcPr>
            <w:tcW w:w="1493" w:type="dxa"/>
            <w:shd w:val="clear" w:color="auto" w:fill="auto"/>
            <w:vAlign w:val="center"/>
          </w:tcPr>
          <w:p w14:paraId="2A611E07" w14:textId="7BCDF5CE" w:rsidR="000A6850" w:rsidRPr="0035562A" w:rsidRDefault="000A6850" w:rsidP="00D07441">
            <w:pPr>
              <w:pStyle w:val="TableText"/>
              <w:spacing w:before="0" w:after="0"/>
              <w:jc w:val="center"/>
              <w:rPr>
                <w:rStyle w:val="CommentReference"/>
                <w:rFonts w:eastAsia="Times New Roman" w:cs="Times New Roman"/>
                <w:i/>
                <w:iCs/>
              </w:rPr>
            </w:pPr>
            <w:r w:rsidRPr="0035562A">
              <w:rPr>
                <w:rStyle w:val="CommentReference"/>
                <w:rFonts w:eastAsia="Times New Roman" w:cs="Times New Roman"/>
                <w:i/>
                <w:iCs/>
              </w:rPr>
              <w:t>$</w:t>
            </w:r>
            <w:r w:rsidR="0090680E" w:rsidRPr="0090680E">
              <w:rPr>
                <w:b/>
                <w:bCs/>
              </w:rPr>
              <w:t>redacted</w:t>
            </w:r>
          </w:p>
        </w:tc>
        <w:tc>
          <w:tcPr>
            <w:tcW w:w="1137" w:type="dxa"/>
            <w:vAlign w:val="center"/>
          </w:tcPr>
          <w:p w14:paraId="6AC9BE4B" w14:textId="77777777" w:rsidR="000A6850" w:rsidRPr="004D70F4" w:rsidRDefault="000A6850" w:rsidP="00D07441">
            <w:pPr>
              <w:pStyle w:val="TableText"/>
              <w:spacing w:before="0" w:after="0"/>
              <w:jc w:val="center"/>
              <w:rPr>
                <w:i/>
                <w:iCs/>
              </w:rPr>
            </w:pPr>
            <w:r w:rsidRPr="004D70F4">
              <w:rPr>
                <w:i/>
                <w:iCs/>
              </w:rPr>
              <w:t>0.383</w:t>
            </w:r>
          </w:p>
        </w:tc>
        <w:tc>
          <w:tcPr>
            <w:tcW w:w="1507" w:type="dxa"/>
            <w:shd w:val="clear" w:color="auto" w:fill="auto"/>
            <w:vAlign w:val="center"/>
          </w:tcPr>
          <w:p w14:paraId="58963596" w14:textId="275BD061" w:rsidR="000A6850" w:rsidRPr="004D70F4" w:rsidRDefault="000A6850" w:rsidP="00D07441">
            <w:pPr>
              <w:pStyle w:val="TableText"/>
              <w:spacing w:before="0" w:after="0"/>
              <w:jc w:val="center"/>
              <w:rPr>
                <w:i/>
                <w:iCs/>
                <w:szCs w:val="20"/>
              </w:rPr>
            </w:pPr>
            <w:r w:rsidRPr="004D70F4">
              <w:rPr>
                <w:i/>
                <w:iCs/>
                <w:szCs w:val="20"/>
              </w:rPr>
              <w:t>$</w:t>
            </w:r>
            <w:r w:rsidR="0090680E" w:rsidRPr="0090680E">
              <w:rPr>
                <w:b/>
                <w:bCs/>
              </w:rPr>
              <w:t>redacted</w:t>
            </w:r>
            <w:r w:rsidRPr="0090680E">
              <w:rPr>
                <w:vertAlign w:val="superscript"/>
              </w:rPr>
              <w:t>3</w:t>
            </w:r>
          </w:p>
        </w:tc>
        <w:tc>
          <w:tcPr>
            <w:tcW w:w="1183" w:type="dxa"/>
            <w:shd w:val="clear" w:color="auto" w:fill="auto"/>
          </w:tcPr>
          <w:p w14:paraId="15929C61" w14:textId="0855EC7D" w:rsidR="000A6850" w:rsidRPr="00C37DD7" w:rsidRDefault="0090680E" w:rsidP="00D07441">
            <w:pPr>
              <w:pStyle w:val="TableText"/>
              <w:spacing w:before="0" w:after="0"/>
              <w:jc w:val="center"/>
              <w:rPr>
                <w:i/>
                <w:iCs/>
              </w:rPr>
            </w:pPr>
            <w:r w:rsidRPr="0090680E">
              <w:rPr>
                <w:b/>
                <w:bCs/>
                <w:i/>
                <w:iCs/>
                <w:color w:val="000000"/>
              </w:rPr>
              <w:t>redacted</w:t>
            </w:r>
          </w:p>
        </w:tc>
      </w:tr>
      <w:tr w:rsidR="000A6850" w:rsidRPr="004D70F4" w14:paraId="324D2727" w14:textId="77777777" w:rsidTr="0090680E">
        <w:tc>
          <w:tcPr>
            <w:tcW w:w="3889" w:type="dxa"/>
          </w:tcPr>
          <w:p w14:paraId="0F716F56" w14:textId="77777777" w:rsidR="000A6850" w:rsidRPr="004D70F4" w:rsidRDefault="000A6850" w:rsidP="00D07441">
            <w:pPr>
              <w:pStyle w:val="TableText"/>
              <w:spacing w:before="0" w:after="0"/>
              <w:rPr>
                <w:i/>
                <w:iCs/>
                <w:vertAlign w:val="superscript"/>
              </w:rPr>
            </w:pPr>
            <w:r w:rsidRPr="004D70F4">
              <w:rPr>
                <w:i/>
                <w:iCs/>
              </w:rPr>
              <w:t>OS in chemotherapy set equal to OS in Olaparib arm</w:t>
            </w:r>
            <w:r>
              <w:rPr>
                <w:i/>
                <w:iCs/>
              </w:rPr>
              <w:t xml:space="preserve"> </w:t>
            </w:r>
            <w:r w:rsidRPr="00F738F0">
              <w:rPr>
                <w:i/>
                <w:iCs/>
                <w:vertAlign w:val="superscript"/>
              </w:rPr>
              <w:t>b</w:t>
            </w:r>
          </w:p>
        </w:tc>
        <w:tc>
          <w:tcPr>
            <w:tcW w:w="1493" w:type="dxa"/>
            <w:shd w:val="clear" w:color="auto" w:fill="auto"/>
            <w:vAlign w:val="center"/>
          </w:tcPr>
          <w:p w14:paraId="0DC90153" w14:textId="635E2351" w:rsidR="000A6850" w:rsidRPr="0035562A" w:rsidRDefault="000A6850" w:rsidP="00D07441">
            <w:pPr>
              <w:pStyle w:val="TableText"/>
              <w:spacing w:before="0" w:after="0"/>
              <w:jc w:val="center"/>
              <w:rPr>
                <w:rStyle w:val="CommentReference"/>
                <w:rFonts w:eastAsia="Times New Roman" w:cs="Times New Roman"/>
                <w:i/>
                <w:iCs/>
              </w:rPr>
            </w:pPr>
            <w:r w:rsidRPr="0035562A">
              <w:rPr>
                <w:rStyle w:val="CommentReference"/>
                <w:rFonts w:eastAsia="Times New Roman" w:cs="Times New Roman"/>
                <w:i/>
                <w:iCs/>
              </w:rPr>
              <w:t>$</w:t>
            </w:r>
            <w:r w:rsidR="0090680E" w:rsidRPr="0090680E">
              <w:rPr>
                <w:b/>
                <w:bCs/>
              </w:rPr>
              <w:t>redacted</w:t>
            </w:r>
          </w:p>
        </w:tc>
        <w:tc>
          <w:tcPr>
            <w:tcW w:w="1137" w:type="dxa"/>
            <w:vAlign w:val="center"/>
          </w:tcPr>
          <w:p w14:paraId="734480C6" w14:textId="77777777" w:rsidR="000A6850" w:rsidRPr="004D70F4" w:rsidRDefault="000A6850" w:rsidP="00D07441">
            <w:pPr>
              <w:pStyle w:val="TableText"/>
              <w:spacing w:before="0" w:after="0"/>
              <w:jc w:val="center"/>
              <w:rPr>
                <w:i/>
                <w:iCs/>
              </w:rPr>
            </w:pPr>
            <w:r w:rsidRPr="004D70F4">
              <w:rPr>
                <w:i/>
                <w:iCs/>
              </w:rPr>
              <w:t>0.241</w:t>
            </w:r>
          </w:p>
        </w:tc>
        <w:tc>
          <w:tcPr>
            <w:tcW w:w="1507" w:type="dxa"/>
            <w:shd w:val="clear" w:color="auto" w:fill="auto"/>
            <w:vAlign w:val="center"/>
          </w:tcPr>
          <w:p w14:paraId="260D31E7" w14:textId="2D7DC533" w:rsidR="000A6850" w:rsidRPr="004D70F4" w:rsidRDefault="000A6850" w:rsidP="00D07441">
            <w:pPr>
              <w:pStyle w:val="TableText"/>
              <w:spacing w:before="0" w:after="0"/>
              <w:jc w:val="center"/>
              <w:rPr>
                <w:i/>
                <w:iCs/>
                <w:szCs w:val="20"/>
              </w:rPr>
            </w:pPr>
            <w:r w:rsidRPr="004D70F4">
              <w:rPr>
                <w:i/>
                <w:iCs/>
                <w:color w:val="000000"/>
                <w:szCs w:val="20"/>
              </w:rPr>
              <w:t>$</w:t>
            </w:r>
            <w:r w:rsidR="0090680E" w:rsidRPr="0090680E">
              <w:rPr>
                <w:b/>
                <w:bCs/>
              </w:rPr>
              <w:t>redacted</w:t>
            </w:r>
            <w:r w:rsidRPr="0090680E">
              <w:rPr>
                <w:vertAlign w:val="superscript"/>
              </w:rPr>
              <w:t>4</w:t>
            </w:r>
          </w:p>
        </w:tc>
        <w:tc>
          <w:tcPr>
            <w:tcW w:w="1183" w:type="dxa"/>
            <w:shd w:val="clear" w:color="auto" w:fill="auto"/>
          </w:tcPr>
          <w:p w14:paraId="63403C10" w14:textId="4D030926" w:rsidR="000A6850" w:rsidRPr="00C37DD7" w:rsidRDefault="0090680E" w:rsidP="00D07441">
            <w:pPr>
              <w:pStyle w:val="TableText"/>
              <w:spacing w:before="0" w:after="0"/>
              <w:jc w:val="center"/>
              <w:rPr>
                <w:i/>
                <w:iCs/>
                <w:color w:val="000000"/>
              </w:rPr>
            </w:pPr>
            <w:r w:rsidRPr="0090680E">
              <w:rPr>
                <w:b/>
                <w:bCs/>
                <w:i/>
                <w:iCs/>
                <w:color w:val="000000"/>
              </w:rPr>
              <w:t>redacted</w:t>
            </w:r>
          </w:p>
        </w:tc>
      </w:tr>
    </w:tbl>
    <w:p w14:paraId="54E3C7E0" w14:textId="7C251B9D" w:rsidR="00DE1BBD" w:rsidRPr="00D02146" w:rsidRDefault="00DE1BBD" w:rsidP="00DE1BBD">
      <w:pPr>
        <w:pStyle w:val="FooterTableFigure"/>
        <w:rPr>
          <w:szCs w:val="18"/>
        </w:rPr>
      </w:pPr>
      <w:r w:rsidRPr="00D02146">
        <w:rPr>
          <w:szCs w:val="18"/>
        </w:rPr>
        <w:t xml:space="preserve">Source: Calculated during the evaluation using the attached economic model. </w:t>
      </w:r>
    </w:p>
    <w:p w14:paraId="4177CBDE" w14:textId="2E3E2F10" w:rsidR="00DE1BBD" w:rsidRPr="00D02146" w:rsidRDefault="00DE1BBD" w:rsidP="00DE1BBD">
      <w:pPr>
        <w:pStyle w:val="FooterTableFigure"/>
        <w:rPr>
          <w:szCs w:val="18"/>
        </w:rPr>
      </w:pPr>
      <w:r w:rsidRPr="00D02146">
        <w:rPr>
          <w:szCs w:val="18"/>
        </w:rPr>
        <w:t>BC = base case; DCO = data cutoff; eBC = early breast cancer; ICER = incremental cost effectiveness ratio; OS = overall survival; PD = progressed disease PFS1 = progression free survival 1: PFS2 = progression free survival 2; QALY = quality adjusted life year</w:t>
      </w:r>
    </w:p>
    <w:p w14:paraId="2BD4E847" w14:textId="77777777" w:rsidR="00DE1BBD" w:rsidRPr="0066027B" w:rsidRDefault="00DE1BBD" w:rsidP="00DE1BBD">
      <w:pPr>
        <w:pStyle w:val="FooterTableFigure"/>
        <w:rPr>
          <w:szCs w:val="18"/>
        </w:rPr>
      </w:pPr>
      <w:r w:rsidRPr="0066027B">
        <w:rPr>
          <w:szCs w:val="18"/>
        </w:rPr>
        <w:t xml:space="preserve">a </w:t>
      </w:r>
      <w:r w:rsidRPr="001C16E8">
        <w:rPr>
          <w:szCs w:val="18"/>
        </w:rPr>
        <w:t xml:space="preserve">Assuming </w:t>
      </w:r>
      <w:r w:rsidRPr="0090680E">
        <w:rPr>
          <w:szCs w:val="18"/>
        </w:rPr>
        <w:t>5</w:t>
      </w:r>
      <w:r w:rsidRPr="001C16E8">
        <w:rPr>
          <w:szCs w:val="18"/>
        </w:rPr>
        <w:t>% prevalence (</w:t>
      </w:r>
      <w:r w:rsidRPr="0090680E">
        <w:rPr>
          <w:szCs w:val="18"/>
        </w:rPr>
        <w:t>20</w:t>
      </w:r>
      <w:r w:rsidRPr="001C16E8">
        <w:rPr>
          <w:szCs w:val="18"/>
        </w:rPr>
        <w:t xml:space="preserve"> tests per patient treated) for HR+ mBC and </w:t>
      </w:r>
      <w:r w:rsidRPr="0090680E">
        <w:rPr>
          <w:szCs w:val="18"/>
        </w:rPr>
        <w:t>13.25</w:t>
      </w:r>
      <w:r w:rsidRPr="001C16E8">
        <w:rPr>
          <w:szCs w:val="18"/>
        </w:rPr>
        <w:t>% prevalence (</w:t>
      </w:r>
      <w:r w:rsidRPr="0090680E">
        <w:rPr>
          <w:szCs w:val="18"/>
        </w:rPr>
        <w:t>7.5</w:t>
      </w:r>
      <w:r w:rsidRPr="001C16E8">
        <w:rPr>
          <w:szCs w:val="18"/>
        </w:rPr>
        <w:t xml:space="preserve"> tests per patient treated) for TNBC, and </w:t>
      </w:r>
      <w:r w:rsidRPr="0090680E">
        <w:rPr>
          <w:szCs w:val="18"/>
        </w:rPr>
        <w:t>13</w:t>
      </w:r>
      <w:r w:rsidRPr="001C16E8">
        <w:rPr>
          <w:szCs w:val="18"/>
        </w:rPr>
        <w:t xml:space="preserve"> tests (weighted prevalence based on </w:t>
      </w:r>
      <w:r w:rsidRPr="0090680E">
        <w:rPr>
          <w:szCs w:val="18"/>
        </w:rPr>
        <w:t>8</w:t>
      </w:r>
      <w:r w:rsidRPr="001C16E8">
        <w:rPr>
          <w:szCs w:val="18"/>
        </w:rPr>
        <w:t xml:space="preserve">% HR+ mBC and </w:t>
      </w:r>
      <w:r w:rsidRPr="0090680E">
        <w:rPr>
          <w:szCs w:val="18"/>
        </w:rPr>
        <w:t>10</w:t>
      </w:r>
      <w:r w:rsidRPr="001C16E8">
        <w:rPr>
          <w:szCs w:val="18"/>
        </w:rPr>
        <w:t>% TNBC</w:t>
      </w:r>
      <w:r w:rsidRPr="0066027B">
        <w:rPr>
          <w:szCs w:val="18"/>
        </w:rPr>
        <w:t xml:space="preserve"> as assumed for </w:t>
      </w:r>
      <w:r w:rsidRPr="0066027B">
        <w:rPr>
          <w:i/>
          <w:iCs/>
          <w:szCs w:val="18"/>
        </w:rPr>
        <w:t>de novo</w:t>
      </w:r>
      <w:r w:rsidRPr="0066027B">
        <w:rPr>
          <w:szCs w:val="18"/>
        </w:rPr>
        <w:t xml:space="preserve"> mBC patients) for patients who progressed from eBC. </w:t>
      </w:r>
    </w:p>
    <w:p w14:paraId="21DFC376" w14:textId="77777777" w:rsidR="00DE1BBD" w:rsidRDefault="00DE1BBD" w:rsidP="00DE1BBD">
      <w:pPr>
        <w:pStyle w:val="FooterTableFigure"/>
        <w:rPr>
          <w:szCs w:val="18"/>
        </w:rPr>
      </w:pPr>
      <w:r w:rsidRPr="0066027B">
        <w:rPr>
          <w:szCs w:val="18"/>
        </w:rPr>
        <w:t>B calculated during the evaluation by pasting values from Column H of ‘olaparib trace’ to Column H of ‘chemo trace’</w:t>
      </w:r>
    </w:p>
    <w:p w14:paraId="56D7B33F" w14:textId="0882C58F" w:rsidR="00852620" w:rsidRPr="003B3240" w:rsidRDefault="00852620" w:rsidP="00852620">
      <w:pPr>
        <w:pStyle w:val="FooterTableFigure"/>
        <w:keepNext/>
        <w:keepLines/>
        <w:rPr>
          <w:i/>
          <w:iCs/>
        </w:rPr>
      </w:pPr>
      <w:r w:rsidRPr="003B3240">
        <w:rPr>
          <w:i/>
          <w:iCs/>
        </w:rPr>
        <w:t xml:space="preserve">The </w:t>
      </w:r>
      <w:r w:rsidR="0090680E" w:rsidRPr="0090680E">
        <w:rPr>
          <w:b/>
          <w:bCs/>
          <w:i/>
          <w:iCs/>
        </w:rPr>
        <w:t>redacted</w:t>
      </w:r>
      <w:r w:rsidRPr="003B3240">
        <w:rPr>
          <w:i/>
          <w:iCs/>
        </w:rPr>
        <w:t xml:space="preserve"> values correspond to the following ranges</w:t>
      </w:r>
    </w:p>
    <w:p w14:paraId="3E106F1D" w14:textId="074B2E91" w:rsidR="00852620" w:rsidRPr="003B3240" w:rsidRDefault="00852620" w:rsidP="00852620">
      <w:pPr>
        <w:pStyle w:val="FooterTableFigure"/>
        <w:rPr>
          <w:i/>
          <w:iCs/>
        </w:rPr>
      </w:pPr>
      <w:r w:rsidRPr="005B3B38">
        <w:rPr>
          <w:i/>
          <w:szCs w:val="18"/>
          <w:vertAlign w:val="superscript"/>
        </w:rPr>
        <w:t>1</w:t>
      </w:r>
      <w:r w:rsidRPr="0090680E">
        <w:rPr>
          <w:rFonts w:eastAsiaTheme="minorEastAsia" w:cs="Open Sans"/>
          <w:i/>
          <w:color w:val="222222"/>
          <w:szCs w:val="18"/>
          <w:lang w:eastAsia="en-US"/>
        </w:rPr>
        <w:t>$2</w:t>
      </w:r>
      <w:r w:rsidRPr="005B3B38">
        <w:rPr>
          <w:i/>
          <w:szCs w:val="18"/>
        </w:rPr>
        <w:t>5</w:t>
      </w:r>
      <w:r w:rsidRPr="003B3240">
        <w:rPr>
          <w:i/>
          <w:iCs/>
        </w:rPr>
        <w:t>,000 to &lt; $</w:t>
      </w:r>
      <w:r>
        <w:rPr>
          <w:i/>
          <w:iCs/>
        </w:rPr>
        <w:t>4</w:t>
      </w:r>
      <w:r w:rsidRPr="003B3240">
        <w:rPr>
          <w:i/>
          <w:iCs/>
        </w:rPr>
        <w:t>5,000</w:t>
      </w:r>
    </w:p>
    <w:p w14:paraId="284ACBF5" w14:textId="1C7BCF36" w:rsidR="00852620" w:rsidRDefault="00BC66BD" w:rsidP="00852620">
      <w:pPr>
        <w:pStyle w:val="FooterTableFigure"/>
        <w:rPr>
          <w:i/>
          <w:iCs/>
        </w:rPr>
      </w:pPr>
      <w:r>
        <w:rPr>
          <w:i/>
          <w:iCs/>
          <w:vertAlign w:val="superscript"/>
        </w:rPr>
        <w:t>2</w:t>
      </w:r>
      <w:r w:rsidR="00852620" w:rsidRPr="003B3240">
        <w:rPr>
          <w:i/>
          <w:iCs/>
        </w:rPr>
        <w:t>$55,000 to &lt; $75,000</w:t>
      </w:r>
    </w:p>
    <w:p w14:paraId="7DB92B96" w14:textId="22E6AADB" w:rsidR="00FD2D3C" w:rsidRDefault="00FD2D3C" w:rsidP="00852620">
      <w:pPr>
        <w:pStyle w:val="FooterTableFigure"/>
        <w:rPr>
          <w:i/>
          <w:iCs/>
        </w:rPr>
      </w:pPr>
      <w:r w:rsidRPr="0090680E">
        <w:rPr>
          <w:i/>
          <w:iCs/>
          <w:vertAlign w:val="superscript"/>
        </w:rPr>
        <w:t>3</w:t>
      </w:r>
      <w:r w:rsidRPr="00FD2D3C">
        <w:rPr>
          <w:i/>
          <w:iCs/>
        </w:rPr>
        <w:t>$75,000 to &lt; $95,000</w:t>
      </w:r>
    </w:p>
    <w:p w14:paraId="587F4BB9" w14:textId="627FB790" w:rsidR="00852620" w:rsidRPr="003B3240" w:rsidRDefault="00BC66BD" w:rsidP="00852620">
      <w:pPr>
        <w:pStyle w:val="FooterTableFigure"/>
        <w:rPr>
          <w:i/>
          <w:iCs/>
        </w:rPr>
      </w:pPr>
      <w:r>
        <w:rPr>
          <w:i/>
          <w:iCs/>
          <w:vertAlign w:val="superscript"/>
        </w:rPr>
        <w:t>4</w:t>
      </w:r>
      <w:r w:rsidR="00852620" w:rsidRPr="003B3240">
        <w:rPr>
          <w:i/>
          <w:iCs/>
        </w:rPr>
        <w:t>$95,000 to &lt; $115,000</w:t>
      </w:r>
    </w:p>
    <w:p w14:paraId="68C3F57B" w14:textId="77777777" w:rsidR="00852620" w:rsidRPr="004D70F4" w:rsidRDefault="00852620" w:rsidP="00852620">
      <w:pPr>
        <w:pStyle w:val="FooterTableFigure"/>
        <w:rPr>
          <w:sz w:val="20"/>
        </w:rPr>
      </w:pPr>
    </w:p>
    <w:p w14:paraId="30BDED61" w14:textId="4D59B005" w:rsidR="00DE1BBD" w:rsidRPr="004D70F4" w:rsidRDefault="00DE1BBD" w:rsidP="00DE1BBD">
      <w:r w:rsidRPr="004D70F4">
        <w:lastRenderedPageBreak/>
        <w:t xml:space="preserve">Overall, the ITT model was highly sensitive to the choice of extrapolation of PFS2. Though the </w:t>
      </w:r>
      <w:r w:rsidR="00450413">
        <w:t>g</w:t>
      </w:r>
      <w:r w:rsidRPr="004D70F4">
        <w:t xml:space="preserve">eneralised gamma extrapolation was the best fitting by total AIC and BIC score, the others were also well fitting and the generalised gamma extrapolation reported the most optimistic ICER. </w:t>
      </w:r>
    </w:p>
    <w:p w14:paraId="01486767" w14:textId="1BE1AEC2" w:rsidR="00DE1BBD" w:rsidRPr="004D70F4" w:rsidRDefault="00DE1BBD" w:rsidP="00DE1BBD">
      <w:r w:rsidRPr="004D70F4">
        <w:t xml:space="preserve">Additionally, the model was sensitive to the utility in PFS2 and setting disease monitoring costs in PFS2 equal to PD, suggesting that the modelling of benefit associated with PFS2 may be uncertain and overestimated. Using time in PFS1 to inform treatment duration also increased the ICER by </w:t>
      </w:r>
      <w:r w:rsidR="0090680E" w:rsidRPr="0090680E">
        <w:rPr>
          <w:b/>
          <w:bCs/>
        </w:rPr>
        <w:t>redacted</w:t>
      </w:r>
      <w:r w:rsidRPr="004D70F4">
        <w:t xml:space="preserve">%. </w:t>
      </w:r>
    </w:p>
    <w:p w14:paraId="51B380A1" w14:textId="3BF9F79B" w:rsidR="00DE1BBD" w:rsidRPr="004D70F4" w:rsidRDefault="00DE1BBD" w:rsidP="00DE1BBD">
      <w:r w:rsidRPr="004D70F4">
        <w:t xml:space="preserve">Assuming OS </w:t>
      </w:r>
      <w:r>
        <w:t>in</w:t>
      </w:r>
      <w:r w:rsidRPr="004D70F4">
        <w:t xml:space="preserve"> the chemotherapy arm to be the same as that </w:t>
      </w:r>
      <w:r>
        <w:t>in</w:t>
      </w:r>
      <w:r w:rsidRPr="004D70F4">
        <w:t xml:space="preserve"> the olaparib arm, consistent with the lack of statistically significant improvement in the OlympiAD trial, increased the ICER by </w:t>
      </w:r>
      <w:r w:rsidR="0090680E" w:rsidRPr="0090680E">
        <w:rPr>
          <w:b/>
          <w:bCs/>
        </w:rPr>
        <w:t>redacted</w:t>
      </w:r>
      <w:r w:rsidRPr="004D70F4">
        <w:t xml:space="preserve">%. </w:t>
      </w:r>
    </w:p>
    <w:p w14:paraId="6E5A92C1" w14:textId="7F9CD8CF" w:rsidR="00DE1BBD" w:rsidRPr="004D70F4" w:rsidRDefault="00DE1BBD" w:rsidP="00DE1BBD">
      <w:r>
        <w:t xml:space="preserve">Additionally, the ITT model was more sensitive to changing the duration of treatment to be the mean time in PFS1 (increased ICER </w:t>
      </w:r>
      <w:r w:rsidRPr="001C16E8">
        <w:t xml:space="preserve">by </w:t>
      </w:r>
      <w:r w:rsidR="0090680E" w:rsidRPr="0090680E">
        <w:rPr>
          <w:b/>
          <w:bCs/>
        </w:rPr>
        <w:t>redacted</w:t>
      </w:r>
      <w:r>
        <w:t xml:space="preserve">%). </w:t>
      </w:r>
      <w:r w:rsidRPr="004D70F4">
        <w:t>The ITT model was also more sensitive to time horizon than the subgroup model.</w:t>
      </w:r>
    </w:p>
    <w:p w14:paraId="1449AA11" w14:textId="5AF091D3" w:rsidR="008B5B67" w:rsidRPr="00CE28E3" w:rsidRDefault="00DE1BBD" w:rsidP="00A44391">
      <w:pPr>
        <w:rPr>
          <w:rFonts w:eastAsia="Calibri"/>
          <w:szCs w:val="20"/>
        </w:rPr>
      </w:pPr>
      <w:r w:rsidRPr="004D70F4">
        <w:t>Overall, the</w:t>
      </w:r>
      <w:r w:rsidR="00C811C0">
        <w:t xml:space="preserve"> commentary considered that the </w:t>
      </w:r>
      <w:r w:rsidRPr="004D70F4">
        <w:t xml:space="preserve">ITT model’s ICER </w:t>
      </w:r>
      <w:r w:rsidR="00BC6EBC" w:rsidRPr="004D70F4">
        <w:t>appear</w:t>
      </w:r>
      <w:r w:rsidR="00BC6EBC">
        <w:t>ed</w:t>
      </w:r>
      <w:r w:rsidR="00BC6EBC" w:rsidRPr="004D70F4">
        <w:t xml:space="preserve"> </w:t>
      </w:r>
      <w:r w:rsidRPr="004D70F4">
        <w:t>underestimated</w:t>
      </w:r>
      <w:r>
        <w:t xml:space="preserve"> and may be optimistic, as an OS benefit was modelled even though it was not reported in OlympiAD, and differential utilities by treatment arm were applied</w:t>
      </w:r>
      <w:r w:rsidRPr="004D70F4">
        <w:t>. The ITT model was more sensitive to changes in several variables compared to the subgroup model</w:t>
      </w:r>
      <w:r>
        <w:t xml:space="preserve"> and may be more uncertain</w:t>
      </w:r>
      <w:r w:rsidRPr="004D70F4">
        <w:t xml:space="preserve">. </w:t>
      </w:r>
      <w:r>
        <w:t xml:space="preserve">This was likely due to </w:t>
      </w:r>
      <w:r w:rsidRPr="004D70F4">
        <w:t xml:space="preserve">the smaller incremental benefit in the base case of the ITT model and smaller changes in the modelled benefit may have greater impacts. </w:t>
      </w:r>
      <w:bookmarkStart w:id="42" w:name="_Hlk68276759"/>
    </w:p>
    <w:p w14:paraId="25AE2BAC" w14:textId="27641FD1" w:rsidR="00772829" w:rsidRPr="00CE28E3" w:rsidRDefault="00C36633" w:rsidP="002A18BE">
      <w:pPr>
        <w:pStyle w:val="Heading2"/>
        <w:numPr>
          <w:ilvl w:val="0"/>
          <w:numId w:val="0"/>
        </w:numPr>
      </w:pPr>
      <w:bookmarkStart w:id="43" w:name="_Toc69491426"/>
      <w:bookmarkEnd w:id="42"/>
      <w:r>
        <w:t>1</w:t>
      </w:r>
      <w:r w:rsidR="00801332">
        <w:t>4</w:t>
      </w:r>
      <w:r>
        <w:t>.</w:t>
      </w:r>
      <w:r>
        <w:tab/>
      </w:r>
      <w:r w:rsidR="00772829" w:rsidRPr="00CE28E3">
        <w:t>Financial/budgetary impacts</w:t>
      </w:r>
      <w:bookmarkEnd w:id="43"/>
    </w:p>
    <w:p w14:paraId="779DA993" w14:textId="5F8E58A7" w:rsidR="00A44391" w:rsidRPr="00A44391" w:rsidRDefault="00A44391" w:rsidP="00330A0A">
      <w:pPr>
        <w:rPr>
          <w:color w:val="0066FF"/>
        </w:rPr>
      </w:pPr>
      <w:r>
        <w:t>The</w:t>
      </w:r>
      <w:r w:rsidRPr="004D70F4">
        <w:t xml:space="preserve"> submission </w:t>
      </w:r>
      <w:r>
        <w:t>took</w:t>
      </w:r>
      <w:r w:rsidRPr="004D70F4">
        <w:t xml:space="preserve"> an epidemiological approach to estimating use and financial implications. </w:t>
      </w:r>
    </w:p>
    <w:p w14:paraId="4FE2390F" w14:textId="3A727161" w:rsidR="0072578A" w:rsidRDefault="00D428B9" w:rsidP="00330A0A">
      <w:r w:rsidRPr="00CE28E3">
        <w:t xml:space="preserve">The financial implications to the </w:t>
      </w:r>
      <w:r w:rsidR="00A44391">
        <w:t>PB</w:t>
      </w:r>
      <w:r w:rsidR="00E14AF7">
        <w:t>S</w:t>
      </w:r>
      <w:r w:rsidR="00A44391">
        <w:t xml:space="preserve"> and MBS</w:t>
      </w:r>
      <w:r w:rsidRPr="00CE28E3">
        <w:t xml:space="preserve"> resulting from the proposed listing of </w:t>
      </w:r>
      <w:r w:rsidR="00A44391" w:rsidRPr="0066027B">
        <w:rPr>
          <w:i/>
          <w:iCs/>
        </w:rPr>
        <w:t>BRCA</w:t>
      </w:r>
      <w:r w:rsidR="00A44391">
        <w:t xml:space="preserve"> testing and olaparib</w:t>
      </w:r>
      <w:r w:rsidRPr="00CE28E3">
        <w:t xml:space="preserve"> are summarised in </w:t>
      </w:r>
      <w:r w:rsidR="0012616A" w:rsidRPr="009B0C25">
        <w:fldChar w:fldCharType="begin"/>
      </w:r>
      <w:r w:rsidR="0012616A" w:rsidRPr="009B0C25">
        <w:instrText xml:space="preserve"> REF _Ref171520895 \h </w:instrText>
      </w:r>
      <w:r w:rsidR="009B0C25">
        <w:instrText xml:space="preserve"> \* MERGEFORMAT </w:instrText>
      </w:r>
      <w:r w:rsidR="0012616A" w:rsidRPr="009B0C25">
        <w:fldChar w:fldCharType="separate"/>
      </w:r>
      <w:r w:rsidR="00325DE1" w:rsidRPr="009B0C25">
        <w:t xml:space="preserve">Table </w:t>
      </w:r>
      <w:r w:rsidR="00325DE1" w:rsidRPr="009B0C25">
        <w:rPr>
          <w:rStyle w:val="CommentReference"/>
          <w:noProof/>
          <w:sz w:val="22"/>
          <w:szCs w:val="22"/>
        </w:rPr>
        <w:t>15</w:t>
      </w:r>
      <w:r w:rsidR="0012616A" w:rsidRPr="009B0C25">
        <w:fldChar w:fldCharType="end"/>
      </w:r>
      <w:r w:rsidR="0012616A" w:rsidRPr="009B0C25">
        <w:t>.</w:t>
      </w:r>
    </w:p>
    <w:p w14:paraId="72EBF32E" w14:textId="477B39EC" w:rsidR="00A44391" w:rsidRPr="0066027B" w:rsidRDefault="00B7491D" w:rsidP="00B7491D">
      <w:pPr>
        <w:pStyle w:val="Caption"/>
        <w:rPr>
          <w:rStyle w:val="CommentReference"/>
          <w:sz w:val="20"/>
          <w:szCs w:val="20"/>
        </w:rPr>
      </w:pPr>
      <w:bookmarkStart w:id="44" w:name="_Ref104805262"/>
      <w:r>
        <w:rPr>
          <w:rStyle w:val="CommentReference"/>
          <w:sz w:val="20"/>
          <w:szCs w:val="20"/>
        </w:rPr>
        <w:t xml:space="preserve"> </w:t>
      </w:r>
      <w:bookmarkStart w:id="45" w:name="_Ref171520895"/>
      <w:bookmarkStart w:id="46" w:name="_Ref171520867"/>
      <w:r>
        <w:t xml:space="preserve">Table </w:t>
      </w:r>
      <w:r>
        <w:fldChar w:fldCharType="begin"/>
      </w:r>
      <w:r w:rsidRPr="0066027B">
        <w:rPr>
          <w:rStyle w:val="CommentReference"/>
          <w:sz w:val="20"/>
          <w:szCs w:val="20"/>
        </w:rPr>
        <w:instrText xml:space="preserve"> SEQ Table \* ARABIC </w:instrText>
      </w:r>
      <w:r>
        <w:fldChar w:fldCharType="separate"/>
      </w:r>
      <w:r w:rsidR="00325DE1">
        <w:rPr>
          <w:rStyle w:val="CommentReference"/>
          <w:noProof/>
          <w:sz w:val="20"/>
          <w:szCs w:val="20"/>
        </w:rPr>
        <w:t>15</w:t>
      </w:r>
      <w:r>
        <w:fldChar w:fldCharType="end"/>
      </w:r>
      <w:bookmarkEnd w:id="44"/>
      <w:bookmarkEnd w:id="45"/>
      <w:r w:rsidR="00A44391" w:rsidRPr="0066027B">
        <w:rPr>
          <w:rStyle w:val="CommentReference"/>
          <w:sz w:val="20"/>
          <w:szCs w:val="20"/>
        </w:rPr>
        <w:t>: Data sources and parameter values applied in the utilisation and financial estimates</w:t>
      </w:r>
      <w:bookmarkEnd w:id="4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885"/>
        <w:gridCol w:w="1170"/>
        <w:gridCol w:w="2520"/>
        <w:gridCol w:w="3605"/>
      </w:tblGrid>
      <w:tr w:rsidR="00A44391" w:rsidRPr="004D70F4" w14:paraId="4D43E820" w14:textId="77777777" w:rsidTr="11FAFD31">
        <w:trPr>
          <w:tblHeader/>
        </w:trPr>
        <w:tc>
          <w:tcPr>
            <w:tcW w:w="1885" w:type="dxa"/>
            <w:vAlign w:val="center"/>
          </w:tcPr>
          <w:p w14:paraId="60DD16DB" w14:textId="77777777" w:rsidR="00A44391" w:rsidRPr="004D70F4" w:rsidRDefault="00A44391" w:rsidP="00583870">
            <w:pPr>
              <w:pStyle w:val="In-tableHeading"/>
              <w:keepNext w:val="0"/>
              <w:jc w:val="center"/>
              <w:rPr>
                <w:lang w:val="en-AU"/>
              </w:rPr>
            </w:pPr>
            <w:r w:rsidRPr="004D70F4">
              <w:rPr>
                <w:lang w:val="en-AU"/>
              </w:rPr>
              <w:t>Data</w:t>
            </w:r>
          </w:p>
        </w:tc>
        <w:tc>
          <w:tcPr>
            <w:tcW w:w="1170" w:type="dxa"/>
            <w:vAlign w:val="center"/>
          </w:tcPr>
          <w:p w14:paraId="1CC2C606" w14:textId="77777777" w:rsidR="00A44391" w:rsidRPr="004D70F4" w:rsidRDefault="00A44391" w:rsidP="00583870">
            <w:pPr>
              <w:pStyle w:val="In-tableHeading"/>
              <w:keepNext w:val="0"/>
              <w:jc w:val="center"/>
              <w:rPr>
                <w:lang w:val="en-AU"/>
              </w:rPr>
            </w:pPr>
            <w:r w:rsidRPr="004D70F4">
              <w:rPr>
                <w:lang w:val="en-AU"/>
              </w:rPr>
              <w:t>Value</w:t>
            </w:r>
          </w:p>
        </w:tc>
        <w:tc>
          <w:tcPr>
            <w:tcW w:w="2520" w:type="dxa"/>
            <w:vAlign w:val="center"/>
          </w:tcPr>
          <w:p w14:paraId="77338E52" w14:textId="77777777" w:rsidR="00A44391" w:rsidRPr="004D70F4" w:rsidRDefault="00A44391" w:rsidP="00583870">
            <w:pPr>
              <w:pStyle w:val="In-tableHeading"/>
              <w:keepNext w:val="0"/>
              <w:jc w:val="center"/>
              <w:rPr>
                <w:lang w:val="en-AU"/>
              </w:rPr>
            </w:pPr>
            <w:r w:rsidRPr="004D70F4">
              <w:rPr>
                <w:lang w:val="en-AU"/>
              </w:rPr>
              <w:t>Source</w:t>
            </w:r>
          </w:p>
        </w:tc>
        <w:tc>
          <w:tcPr>
            <w:tcW w:w="3605" w:type="dxa"/>
            <w:vAlign w:val="center"/>
          </w:tcPr>
          <w:p w14:paraId="0FE7DE32" w14:textId="77777777" w:rsidR="00A44391" w:rsidRPr="004D70F4" w:rsidRDefault="00A44391" w:rsidP="00583870">
            <w:pPr>
              <w:pStyle w:val="In-tableHeading"/>
              <w:keepNext w:val="0"/>
              <w:jc w:val="center"/>
              <w:rPr>
                <w:lang w:val="en-AU"/>
              </w:rPr>
            </w:pPr>
            <w:r w:rsidRPr="004D70F4">
              <w:rPr>
                <w:lang w:val="en-AU"/>
              </w:rPr>
              <w:t>Comment</w:t>
            </w:r>
          </w:p>
        </w:tc>
      </w:tr>
      <w:tr w:rsidR="00A44391" w:rsidRPr="004D70F4" w14:paraId="722BF095" w14:textId="77777777" w:rsidTr="11FAFD31">
        <w:tc>
          <w:tcPr>
            <w:tcW w:w="9180" w:type="dxa"/>
            <w:gridSpan w:val="4"/>
            <w:vAlign w:val="center"/>
          </w:tcPr>
          <w:p w14:paraId="412CE3CC" w14:textId="77777777" w:rsidR="00A44391" w:rsidRPr="004D70F4" w:rsidRDefault="00A44391" w:rsidP="00583870">
            <w:pPr>
              <w:pStyle w:val="In-tableHeading"/>
              <w:keepNext w:val="0"/>
              <w:rPr>
                <w:lang w:val="en-AU"/>
              </w:rPr>
            </w:pPr>
            <w:r w:rsidRPr="004D70F4">
              <w:rPr>
                <w:lang w:val="en-AU"/>
              </w:rPr>
              <w:t>Eligible population</w:t>
            </w:r>
          </w:p>
        </w:tc>
      </w:tr>
      <w:tr w:rsidR="00A44391" w:rsidRPr="004D70F4" w14:paraId="378514F1" w14:textId="77777777" w:rsidTr="00812C31">
        <w:tc>
          <w:tcPr>
            <w:tcW w:w="1885" w:type="dxa"/>
            <w:vAlign w:val="center"/>
          </w:tcPr>
          <w:p w14:paraId="1AB97E6A" w14:textId="77777777" w:rsidR="00A44391" w:rsidRPr="004D70F4" w:rsidRDefault="00A44391" w:rsidP="00583870">
            <w:pPr>
              <w:pStyle w:val="TableText"/>
            </w:pPr>
            <w:r w:rsidRPr="004D70F4">
              <w:t>% of patients with recurrent mBC</w:t>
            </w:r>
          </w:p>
        </w:tc>
        <w:tc>
          <w:tcPr>
            <w:tcW w:w="1170" w:type="dxa"/>
            <w:shd w:val="clear" w:color="auto" w:fill="FFFFFF" w:themeFill="background1"/>
            <w:vAlign w:val="center"/>
          </w:tcPr>
          <w:p w14:paraId="59336CC4" w14:textId="77777777" w:rsidR="00A44391" w:rsidRPr="004D70F4" w:rsidRDefault="00A44391" w:rsidP="00583870">
            <w:pPr>
              <w:pStyle w:val="TableText"/>
            </w:pPr>
            <w:r w:rsidRPr="00812C31">
              <w:rPr>
                <w:shd w:val="clear" w:color="auto" w:fill="FFFFFF" w:themeFill="background1"/>
              </w:rPr>
              <w:t>66</w:t>
            </w:r>
            <w:r w:rsidRPr="004D70F4">
              <w:t>%</w:t>
            </w:r>
          </w:p>
        </w:tc>
        <w:tc>
          <w:tcPr>
            <w:tcW w:w="2520" w:type="dxa"/>
            <w:vAlign w:val="center"/>
          </w:tcPr>
          <w:p w14:paraId="24E08740" w14:textId="77777777" w:rsidR="00A44391" w:rsidRPr="004D70F4" w:rsidRDefault="00A44391" w:rsidP="00583870">
            <w:pPr>
              <w:pStyle w:val="TableText"/>
            </w:pPr>
            <w:r w:rsidRPr="004D70F4">
              <w:t>Average of Kisqali Access Registry for Metastatic Breast Cancer in Australia (KARMA, n=160) registry and ARORA registry.</w:t>
            </w:r>
          </w:p>
        </w:tc>
        <w:tc>
          <w:tcPr>
            <w:tcW w:w="3605" w:type="dxa"/>
            <w:vAlign w:val="center"/>
          </w:tcPr>
          <w:p w14:paraId="54B1793E" w14:textId="77777777" w:rsidR="00A44391" w:rsidRPr="0066027B" w:rsidRDefault="00A44391" w:rsidP="00583870">
            <w:pPr>
              <w:pStyle w:val="TableText"/>
            </w:pPr>
            <w:r w:rsidRPr="0066027B">
              <w:t xml:space="preserve">The ARORA registry considered that 59% of  HR+ patients had relapsed as opposed to </w:t>
            </w:r>
            <w:r w:rsidRPr="00E14AF7">
              <w:rPr>
                <w:i/>
                <w:iCs/>
              </w:rPr>
              <w:t xml:space="preserve">de novo </w:t>
            </w:r>
            <w:r w:rsidRPr="0066027B">
              <w:t xml:space="preserve">metastatic disease and the KARMA registry considered that 74% would have relapsed or recurrent disease. </w:t>
            </w:r>
          </w:p>
        </w:tc>
      </w:tr>
      <w:tr w:rsidR="00A44391" w:rsidRPr="004D70F4" w14:paraId="2CD950A0" w14:textId="77777777" w:rsidTr="11FAFD31">
        <w:tc>
          <w:tcPr>
            <w:tcW w:w="1885" w:type="dxa"/>
            <w:vAlign w:val="center"/>
          </w:tcPr>
          <w:p w14:paraId="07813E17" w14:textId="77777777" w:rsidR="00A44391" w:rsidRPr="004D70F4" w:rsidRDefault="00A44391" w:rsidP="00583870">
            <w:pPr>
              <w:pStyle w:val="TableText"/>
            </w:pPr>
            <w:r>
              <w:t>% of HR + patients with prior (neo)adjuvant chemotherapy</w:t>
            </w:r>
          </w:p>
        </w:tc>
        <w:tc>
          <w:tcPr>
            <w:tcW w:w="1170" w:type="dxa"/>
            <w:vAlign w:val="center"/>
          </w:tcPr>
          <w:p w14:paraId="0437B859" w14:textId="77777777" w:rsidR="00A44391" w:rsidRPr="004D70F4" w:rsidRDefault="00A44391" w:rsidP="00583870">
            <w:pPr>
              <w:pStyle w:val="TableText"/>
            </w:pPr>
            <w:r w:rsidRPr="00812C31">
              <w:rPr>
                <w:shd w:val="clear" w:color="auto" w:fill="FFFFFF" w:themeFill="background1"/>
              </w:rPr>
              <w:t>63</w:t>
            </w:r>
            <w:r w:rsidRPr="004D70F4">
              <w:t>%</w:t>
            </w:r>
          </w:p>
        </w:tc>
        <w:tc>
          <w:tcPr>
            <w:tcW w:w="2520" w:type="dxa"/>
            <w:vAlign w:val="center"/>
          </w:tcPr>
          <w:p w14:paraId="68A7E673" w14:textId="77777777" w:rsidR="00A44391" w:rsidRPr="004D70F4" w:rsidRDefault="00A44391" w:rsidP="00583870">
            <w:pPr>
              <w:pStyle w:val="TableText"/>
            </w:pPr>
            <w:r w:rsidRPr="004D70F4">
              <w:t>Taken from KARMA registry</w:t>
            </w:r>
          </w:p>
        </w:tc>
        <w:tc>
          <w:tcPr>
            <w:tcW w:w="3605" w:type="dxa"/>
            <w:vAlign w:val="center"/>
          </w:tcPr>
          <w:p w14:paraId="0C40CBDB" w14:textId="4D870311" w:rsidR="00A44391" w:rsidRPr="0066027B" w:rsidRDefault="00A44391" w:rsidP="00583870">
            <w:pPr>
              <w:pStyle w:val="TableText"/>
            </w:pPr>
            <w:r w:rsidRPr="0066027B">
              <w:t xml:space="preserve">The PBAC considered that </w:t>
            </w:r>
            <w:r w:rsidRPr="002966A6">
              <w:rPr>
                <w:shd w:val="clear" w:color="auto" w:fill="FFFFFF" w:themeFill="background1"/>
              </w:rPr>
              <w:t>25</w:t>
            </w:r>
            <w:r w:rsidRPr="0066027B">
              <w:t xml:space="preserve">% would be more appropriate. (Table 19, </w:t>
            </w:r>
            <w:hyperlink r:id="rId18" w:history="1">
              <w:r w:rsidR="00E14AF7" w:rsidRPr="0066027B">
                <w:rPr>
                  <w:rStyle w:val="Hyperlink"/>
                </w:rPr>
                <w:t>olaparib PSD March 2023 PBAC meeting</w:t>
              </w:r>
            </w:hyperlink>
            <w:r w:rsidRPr="0066027B">
              <w:t>)</w:t>
            </w:r>
            <w:r w:rsidR="00E14AF7">
              <w:t>.</w:t>
            </w:r>
          </w:p>
        </w:tc>
      </w:tr>
      <w:tr w:rsidR="00A44391" w:rsidRPr="004D70F4" w14:paraId="5E9D1712" w14:textId="77777777" w:rsidTr="11FAFD31">
        <w:tc>
          <w:tcPr>
            <w:tcW w:w="1885" w:type="dxa"/>
            <w:vAlign w:val="center"/>
          </w:tcPr>
          <w:p w14:paraId="27F6C937" w14:textId="77777777" w:rsidR="00A44391" w:rsidRPr="004D70F4" w:rsidRDefault="00A44391" w:rsidP="00583870">
            <w:pPr>
              <w:pStyle w:val="TableText"/>
            </w:pPr>
            <w:r w:rsidRPr="004D70F4">
              <w:t xml:space="preserve">Germline </w:t>
            </w:r>
            <w:r w:rsidRPr="0066027B">
              <w:rPr>
                <w:i/>
                <w:iCs/>
              </w:rPr>
              <w:t>BRCA</w:t>
            </w:r>
            <w:r w:rsidRPr="004D70F4">
              <w:t xml:space="preserve"> mutation testing rates</w:t>
            </w:r>
          </w:p>
        </w:tc>
        <w:tc>
          <w:tcPr>
            <w:tcW w:w="1170" w:type="dxa"/>
            <w:vAlign w:val="center"/>
          </w:tcPr>
          <w:p w14:paraId="41921A92" w14:textId="77777777" w:rsidR="00A44391" w:rsidRPr="004D70F4" w:rsidRDefault="00A44391" w:rsidP="00812C31">
            <w:pPr>
              <w:pStyle w:val="TableText"/>
              <w:shd w:val="clear" w:color="auto" w:fill="FFFFFF" w:themeFill="background1"/>
            </w:pPr>
            <w:r w:rsidRPr="004D70F4">
              <w:t xml:space="preserve">TNBC: </w:t>
            </w:r>
            <w:r w:rsidRPr="00812C31">
              <w:rPr>
                <w:shd w:val="clear" w:color="auto" w:fill="FFFFFF" w:themeFill="background1"/>
              </w:rPr>
              <w:t>75-90</w:t>
            </w:r>
            <w:r w:rsidRPr="004D70F4">
              <w:t>%</w:t>
            </w:r>
          </w:p>
          <w:p w14:paraId="1D1239D8" w14:textId="77777777" w:rsidR="00A44391" w:rsidRPr="004D70F4" w:rsidRDefault="00A44391" w:rsidP="00812C31">
            <w:pPr>
              <w:pStyle w:val="TableText"/>
              <w:shd w:val="clear" w:color="auto" w:fill="FFFFFF" w:themeFill="background1"/>
            </w:pPr>
            <w:r w:rsidRPr="004D70F4">
              <w:t xml:space="preserve">HR+: </w:t>
            </w:r>
            <w:r w:rsidRPr="00812C31">
              <w:rPr>
                <w:shd w:val="clear" w:color="auto" w:fill="FFFFFF" w:themeFill="background1"/>
              </w:rPr>
              <w:t>50-90</w:t>
            </w:r>
            <w:r w:rsidRPr="004D70F4">
              <w:t>%</w:t>
            </w:r>
          </w:p>
        </w:tc>
        <w:tc>
          <w:tcPr>
            <w:tcW w:w="2520" w:type="dxa"/>
            <w:vAlign w:val="center"/>
          </w:tcPr>
          <w:p w14:paraId="5F41CF09" w14:textId="73EC47AA" w:rsidR="00A44391" w:rsidRPr="004D70F4" w:rsidRDefault="00A44391" w:rsidP="00583870">
            <w:pPr>
              <w:pStyle w:val="TableText"/>
            </w:pPr>
            <w:r w:rsidRPr="004D70F4">
              <w:t>Table 20</w:t>
            </w:r>
            <w:r w:rsidR="00E14AF7">
              <w:t xml:space="preserve"> </w:t>
            </w:r>
            <w:hyperlink r:id="rId19" w:history="1">
              <w:r w:rsidR="00E14AF7" w:rsidRPr="0066027B">
                <w:rPr>
                  <w:rStyle w:val="Hyperlink"/>
                </w:rPr>
                <w:t>olaparib PSD March 2023 PBAC meeting</w:t>
              </w:r>
            </w:hyperlink>
          </w:p>
        </w:tc>
        <w:tc>
          <w:tcPr>
            <w:tcW w:w="3605" w:type="dxa"/>
            <w:vAlign w:val="center"/>
          </w:tcPr>
          <w:p w14:paraId="7AB0759E" w14:textId="77777777" w:rsidR="00A44391" w:rsidRPr="0066027B" w:rsidRDefault="00A44391" w:rsidP="00583870">
            <w:pPr>
              <w:pStyle w:val="TableText"/>
            </w:pPr>
            <w:r w:rsidRPr="0066027B">
              <w:t>In the</w:t>
            </w:r>
            <w:r w:rsidRPr="00E14AF7">
              <w:t xml:space="preserve"> </w:t>
            </w:r>
            <w:r w:rsidRPr="0066027B">
              <w:t xml:space="preserve">eBC setting, DUSC had considered rates ranging from </w:t>
            </w:r>
            <w:r w:rsidRPr="002966A6">
              <w:rPr>
                <w:shd w:val="clear" w:color="auto" w:fill="FFFFFF" w:themeFill="background1"/>
              </w:rPr>
              <w:t>80</w:t>
            </w:r>
            <w:r w:rsidRPr="0066027B">
              <w:t xml:space="preserve">% to </w:t>
            </w:r>
            <w:r w:rsidRPr="002966A6">
              <w:rPr>
                <w:shd w:val="clear" w:color="auto" w:fill="FFFFFF" w:themeFill="background1"/>
              </w:rPr>
              <w:t>95</w:t>
            </w:r>
            <w:r w:rsidRPr="0066027B">
              <w:t>% to be appropriate, but that initially uptake may be higher. It was unclear how applicable uptake rates from the eBC setting would be to the metastatic setting.</w:t>
            </w:r>
          </w:p>
        </w:tc>
      </w:tr>
      <w:tr w:rsidR="00A44391" w:rsidRPr="004D70F4" w14:paraId="62F7F852" w14:textId="77777777" w:rsidTr="11FAFD31">
        <w:tc>
          <w:tcPr>
            <w:tcW w:w="1885" w:type="dxa"/>
            <w:vAlign w:val="center"/>
          </w:tcPr>
          <w:p w14:paraId="4B8B044D" w14:textId="77777777" w:rsidR="00A44391" w:rsidRPr="004D70F4" w:rsidRDefault="00A44391" w:rsidP="00583870">
            <w:pPr>
              <w:pStyle w:val="TableText"/>
            </w:pPr>
            <w:r>
              <w:t xml:space="preserve">Germline </w:t>
            </w:r>
            <w:r w:rsidRPr="11FAFD31">
              <w:rPr>
                <w:i/>
                <w:iCs/>
              </w:rPr>
              <w:t>BRCA</w:t>
            </w:r>
            <w:r>
              <w:t xml:space="preserve"> mutation test positive to </w:t>
            </w:r>
            <w:r w:rsidRPr="11FAFD31">
              <w:rPr>
                <w:i/>
                <w:iCs/>
              </w:rPr>
              <w:t xml:space="preserve">BRCA1 </w:t>
            </w:r>
            <w:r>
              <w:t xml:space="preserve">or </w:t>
            </w:r>
            <w:r w:rsidRPr="11FAFD31">
              <w:rPr>
                <w:i/>
                <w:iCs/>
              </w:rPr>
              <w:t xml:space="preserve">BRCA2 </w:t>
            </w:r>
            <w:r>
              <w:t>mutation, TNBC</w:t>
            </w:r>
          </w:p>
        </w:tc>
        <w:tc>
          <w:tcPr>
            <w:tcW w:w="1170" w:type="dxa"/>
            <w:vAlign w:val="center"/>
          </w:tcPr>
          <w:p w14:paraId="2F30D3FE" w14:textId="77777777" w:rsidR="00A44391" w:rsidRPr="004D70F4" w:rsidRDefault="00A44391" w:rsidP="00583870">
            <w:pPr>
              <w:pStyle w:val="TableText"/>
            </w:pPr>
            <w:r w:rsidRPr="00812C31">
              <w:rPr>
                <w:shd w:val="clear" w:color="auto" w:fill="FFFFFF" w:themeFill="background1"/>
              </w:rPr>
              <w:t>13.25</w:t>
            </w:r>
            <w:r w:rsidRPr="004D70F4">
              <w:t>%</w:t>
            </w:r>
          </w:p>
        </w:tc>
        <w:tc>
          <w:tcPr>
            <w:tcW w:w="2520" w:type="dxa"/>
            <w:vAlign w:val="center"/>
          </w:tcPr>
          <w:p w14:paraId="7F417ED4" w14:textId="40F572BD" w:rsidR="00A44391" w:rsidRPr="004D70F4" w:rsidRDefault="00A44391" w:rsidP="00583870">
            <w:pPr>
              <w:pStyle w:val="TableText"/>
            </w:pPr>
            <w:r w:rsidRPr="004D70F4">
              <w:t>Table 20</w:t>
            </w:r>
            <w:r w:rsidR="00E14AF7">
              <w:t xml:space="preserve"> </w:t>
            </w:r>
            <w:hyperlink r:id="rId20" w:history="1">
              <w:r w:rsidR="00E14AF7" w:rsidRPr="0066027B">
                <w:rPr>
                  <w:rStyle w:val="Hyperlink"/>
                </w:rPr>
                <w:t>olaparib PSD March 2023 PBAC meeting</w:t>
              </w:r>
            </w:hyperlink>
          </w:p>
        </w:tc>
        <w:tc>
          <w:tcPr>
            <w:tcW w:w="3605" w:type="dxa"/>
            <w:vAlign w:val="center"/>
          </w:tcPr>
          <w:p w14:paraId="0EAB76C4" w14:textId="77777777" w:rsidR="00A44391" w:rsidRPr="004D70F4" w:rsidRDefault="00A44391" w:rsidP="00583870">
            <w:pPr>
              <w:pStyle w:val="TableText"/>
              <w:rPr>
                <w:i/>
                <w:iCs/>
              </w:rPr>
            </w:pPr>
            <w:r w:rsidRPr="004D70F4">
              <w:rPr>
                <w:i/>
                <w:iCs/>
              </w:rPr>
              <w:t>Reasonable</w:t>
            </w:r>
          </w:p>
        </w:tc>
      </w:tr>
      <w:tr w:rsidR="00A44391" w:rsidRPr="004D70F4" w14:paraId="2EA8368D" w14:textId="77777777" w:rsidTr="11FAFD31">
        <w:trPr>
          <w:trHeight w:val="300"/>
        </w:trPr>
        <w:tc>
          <w:tcPr>
            <w:tcW w:w="1885" w:type="dxa"/>
            <w:vAlign w:val="center"/>
          </w:tcPr>
          <w:p w14:paraId="5DFE47B1" w14:textId="77777777" w:rsidR="00A44391" w:rsidRPr="004D70F4" w:rsidRDefault="00A44391" w:rsidP="00583870">
            <w:pPr>
              <w:pStyle w:val="TableText"/>
            </w:pPr>
            <w:r w:rsidRPr="004D70F4">
              <w:t xml:space="preserve">Germline </w:t>
            </w:r>
            <w:r w:rsidRPr="0066027B">
              <w:rPr>
                <w:i/>
                <w:iCs/>
              </w:rPr>
              <w:t>BRCA</w:t>
            </w:r>
            <w:r w:rsidRPr="004D70F4">
              <w:t xml:space="preserve"> mutation test positive to </w:t>
            </w:r>
            <w:r w:rsidRPr="0066027B">
              <w:rPr>
                <w:i/>
                <w:iCs/>
              </w:rPr>
              <w:lastRenderedPageBreak/>
              <w:t>BRCA1</w:t>
            </w:r>
            <w:r w:rsidRPr="004D70F4">
              <w:t xml:space="preserve"> or </w:t>
            </w:r>
            <w:r w:rsidRPr="0066027B">
              <w:rPr>
                <w:i/>
                <w:iCs/>
              </w:rPr>
              <w:t>BRCA2</w:t>
            </w:r>
            <w:r w:rsidRPr="004D70F4">
              <w:t xml:space="preserve"> mutation, HR+</w:t>
            </w:r>
          </w:p>
        </w:tc>
        <w:tc>
          <w:tcPr>
            <w:tcW w:w="1170" w:type="dxa"/>
            <w:vAlign w:val="center"/>
          </w:tcPr>
          <w:p w14:paraId="7F112C56" w14:textId="77777777" w:rsidR="00A44391" w:rsidRPr="00812C31" w:rsidRDefault="00A44391" w:rsidP="00583870">
            <w:pPr>
              <w:pStyle w:val="TableText"/>
            </w:pPr>
            <w:r w:rsidRPr="00812C31">
              <w:rPr>
                <w:shd w:val="clear" w:color="auto" w:fill="FFFFFF" w:themeFill="background1"/>
              </w:rPr>
              <w:lastRenderedPageBreak/>
              <w:t>5</w:t>
            </w:r>
            <w:r w:rsidRPr="00812C31">
              <w:t>%</w:t>
            </w:r>
          </w:p>
        </w:tc>
        <w:tc>
          <w:tcPr>
            <w:tcW w:w="2520" w:type="dxa"/>
            <w:vAlign w:val="center"/>
          </w:tcPr>
          <w:p w14:paraId="50DED3AE" w14:textId="71A895D1" w:rsidR="00A44391" w:rsidRPr="004D70F4" w:rsidRDefault="00A44391" w:rsidP="00583870">
            <w:pPr>
              <w:pStyle w:val="TableText"/>
            </w:pPr>
            <w:r w:rsidRPr="004D70F4">
              <w:t xml:space="preserve">Assumption to align with in the OlympiA trial, estimates from population based studies </w:t>
            </w:r>
            <w:r w:rsidRPr="004D70F4">
              <w:lastRenderedPageBreak/>
              <w:t>(Armstrong 2019) and IPSOS report, showing that testing is less established in this population</w:t>
            </w:r>
          </w:p>
        </w:tc>
        <w:tc>
          <w:tcPr>
            <w:tcW w:w="3605" w:type="dxa"/>
            <w:vAlign w:val="center"/>
          </w:tcPr>
          <w:p w14:paraId="0F6B9E65" w14:textId="6F423D36" w:rsidR="00A44391" w:rsidRPr="0066027B" w:rsidRDefault="00A44391" w:rsidP="00583870">
            <w:pPr>
              <w:pStyle w:val="TableText"/>
            </w:pPr>
            <w:r w:rsidRPr="0066027B">
              <w:lastRenderedPageBreak/>
              <w:t xml:space="preserve">This was consistent with previous MSAC considerations (Table 1and 6, </w:t>
            </w:r>
            <w:hyperlink r:id="rId21" w:history="1">
              <w:r w:rsidR="007C6CE4">
                <w:rPr>
                  <w:rStyle w:val="Hyperlink"/>
                </w:rPr>
                <w:t>1716 PSD November 2023 MSAC meeting</w:t>
              </w:r>
            </w:hyperlink>
            <w:r w:rsidRPr="0066027B">
              <w:t>).</w:t>
            </w:r>
          </w:p>
        </w:tc>
      </w:tr>
      <w:tr w:rsidR="00A44391" w:rsidRPr="004D70F4" w14:paraId="358FA2D5" w14:textId="77777777" w:rsidTr="11FAFD31">
        <w:trPr>
          <w:trHeight w:val="300"/>
        </w:trPr>
        <w:tc>
          <w:tcPr>
            <w:tcW w:w="1885" w:type="dxa"/>
            <w:vAlign w:val="center"/>
          </w:tcPr>
          <w:p w14:paraId="064178FF" w14:textId="77777777" w:rsidR="00A44391" w:rsidRPr="00812C31" w:rsidRDefault="00A44391" w:rsidP="00583870">
            <w:pPr>
              <w:pStyle w:val="TableText"/>
            </w:pPr>
            <w:r w:rsidRPr="00812C31">
              <w:t>Proportion of TNBC patients</w:t>
            </w:r>
          </w:p>
        </w:tc>
        <w:tc>
          <w:tcPr>
            <w:tcW w:w="1170" w:type="dxa"/>
            <w:vAlign w:val="center"/>
          </w:tcPr>
          <w:p w14:paraId="18CB83D7" w14:textId="77777777" w:rsidR="00A44391" w:rsidRPr="00812C31" w:rsidRDefault="00A44391" w:rsidP="00583870">
            <w:pPr>
              <w:pStyle w:val="TableText"/>
            </w:pPr>
            <w:r w:rsidRPr="00812C31">
              <w:rPr>
                <w:shd w:val="clear" w:color="auto" w:fill="FFFFFF" w:themeFill="background1"/>
              </w:rPr>
              <w:t>15</w:t>
            </w:r>
            <w:r w:rsidRPr="00812C31">
              <w:t>%</w:t>
            </w:r>
          </w:p>
        </w:tc>
        <w:tc>
          <w:tcPr>
            <w:tcW w:w="2520" w:type="dxa"/>
            <w:vAlign w:val="center"/>
          </w:tcPr>
          <w:p w14:paraId="528D813B" w14:textId="70213B65" w:rsidR="00A44391" w:rsidRPr="006A53AC" w:rsidRDefault="006A53AC" w:rsidP="00583870">
            <w:pPr>
              <w:pStyle w:val="TableText"/>
            </w:pPr>
            <w:r w:rsidRPr="0066027B">
              <w:t>paragraph 6.71</w:t>
            </w:r>
            <w:r w:rsidR="00A44391" w:rsidRPr="006A53AC">
              <w:t xml:space="preserve"> </w:t>
            </w:r>
            <w:hyperlink r:id="rId22" w:history="1">
              <w:r w:rsidR="00E14AF7" w:rsidRPr="006A53AC">
                <w:rPr>
                  <w:rStyle w:val="Hyperlink"/>
                </w:rPr>
                <w:t>sacituzumab govitecan PSD March 2022 PBAC meeting</w:t>
              </w:r>
            </w:hyperlink>
            <w:r w:rsidR="00E14AF7" w:rsidRPr="006A53AC">
              <w:t xml:space="preserve"> </w:t>
            </w:r>
          </w:p>
        </w:tc>
        <w:tc>
          <w:tcPr>
            <w:tcW w:w="3605" w:type="dxa"/>
            <w:vAlign w:val="center"/>
          </w:tcPr>
          <w:p w14:paraId="19A3A222" w14:textId="0B69F94A" w:rsidR="00A44391" w:rsidRPr="0066027B" w:rsidRDefault="00A44391" w:rsidP="00583870">
            <w:pPr>
              <w:pStyle w:val="TableText"/>
            </w:pPr>
            <w:r w:rsidRPr="0066027B">
              <w:t xml:space="preserve">Reasonable. This was consistent with DUSC recommendations. </w:t>
            </w:r>
          </w:p>
        </w:tc>
      </w:tr>
      <w:tr w:rsidR="00A44391" w:rsidRPr="004D70F4" w14:paraId="2B3DB604" w14:textId="77777777" w:rsidTr="11FAFD31">
        <w:tc>
          <w:tcPr>
            <w:tcW w:w="1885" w:type="dxa"/>
            <w:vAlign w:val="center"/>
          </w:tcPr>
          <w:p w14:paraId="62668CDC" w14:textId="77777777" w:rsidR="00A44391" w:rsidRPr="004D70F4" w:rsidRDefault="00A44391" w:rsidP="00583870">
            <w:pPr>
              <w:pStyle w:val="TableText"/>
            </w:pPr>
            <w:r>
              <w:t>Estimate of TNBC patients that are metastatic</w:t>
            </w:r>
          </w:p>
        </w:tc>
        <w:tc>
          <w:tcPr>
            <w:tcW w:w="1170" w:type="dxa"/>
            <w:vAlign w:val="center"/>
          </w:tcPr>
          <w:p w14:paraId="1336B8B4" w14:textId="77777777" w:rsidR="00A44391" w:rsidRPr="004D70F4" w:rsidRDefault="00A44391" w:rsidP="00583870">
            <w:pPr>
              <w:pStyle w:val="TableText"/>
            </w:pPr>
            <w:r w:rsidRPr="00C82B6C">
              <w:rPr>
                <w:shd w:val="clear" w:color="auto" w:fill="FFFFFF" w:themeFill="background1"/>
              </w:rPr>
              <w:t>54.80</w:t>
            </w:r>
            <w:r w:rsidRPr="004D70F4">
              <w:t>%</w:t>
            </w:r>
          </w:p>
        </w:tc>
        <w:tc>
          <w:tcPr>
            <w:tcW w:w="2520" w:type="dxa"/>
            <w:vAlign w:val="center"/>
          </w:tcPr>
          <w:p w14:paraId="355890A2" w14:textId="356E68C8" w:rsidR="00A44391" w:rsidRPr="004D70F4" w:rsidRDefault="00A44391" w:rsidP="00583870">
            <w:pPr>
              <w:pStyle w:val="TableText"/>
            </w:pPr>
            <w:r w:rsidRPr="004D70F4">
              <w:t>Table 16</w:t>
            </w:r>
            <w:r w:rsidR="006A53AC">
              <w:t xml:space="preserve"> </w:t>
            </w:r>
            <w:hyperlink r:id="rId23" w:history="1">
              <w:r w:rsidR="006A53AC">
                <w:rPr>
                  <w:rStyle w:val="Hyperlink"/>
                </w:rPr>
                <w:t>trastuzumab deruxtecan PSD November 2023 PBAC meeting</w:t>
              </w:r>
            </w:hyperlink>
            <w:r w:rsidR="006A53AC">
              <w:t xml:space="preserve"> </w:t>
            </w:r>
          </w:p>
        </w:tc>
        <w:tc>
          <w:tcPr>
            <w:tcW w:w="3605" w:type="dxa"/>
            <w:vAlign w:val="center"/>
          </w:tcPr>
          <w:p w14:paraId="21B15605" w14:textId="55372931" w:rsidR="00A44391" w:rsidRPr="004D70F4" w:rsidRDefault="00A44391" w:rsidP="00583870">
            <w:pPr>
              <w:pStyle w:val="TableText"/>
            </w:pPr>
            <w:r w:rsidRPr="004D70F4">
              <w:t xml:space="preserve">In its consideration of </w:t>
            </w:r>
            <w:r w:rsidR="006A53AC">
              <w:t>t</w:t>
            </w:r>
            <w:r w:rsidRPr="004D70F4">
              <w:t xml:space="preserve">rastuzumab deruxtecan at the July 2022 PBAC meeting DUSC stated: </w:t>
            </w:r>
            <w:r w:rsidRPr="006A53AC">
              <w:t>“</w:t>
            </w:r>
            <w:r w:rsidRPr="0066027B">
              <w:t>DUSC agrees with the commentary that this is likely an overestimate. However, DUSC noted that this employs similar rationale to other submissions (atezolizumab March 2020 and SG for triple negative breast cancer). In prior submissions, for atezolizumab March 2020 and pembrolizumab March 2023, this has also taken into account the mortality rate of (44% for all stages of breast cancer from Lin 2012</w:t>
            </w:r>
            <w:r w:rsidRPr="0066027B">
              <w:rPr>
                <w:vertAlign w:val="superscript"/>
              </w:rPr>
              <w:t>e</w:t>
            </w:r>
            <w:r w:rsidRPr="0066027B">
              <w:t xml:space="preserve">) into the estimates” (Table 14, </w:t>
            </w:r>
            <w:hyperlink r:id="rId24" w:history="1">
              <w:r w:rsidR="006A53AC">
                <w:rPr>
                  <w:rStyle w:val="Hyperlink"/>
                </w:rPr>
                <w:t>trastuzumab deruxtecan PSD November 2023 PBAC meeting</w:t>
              </w:r>
            </w:hyperlink>
            <w:r w:rsidRPr="0066027B">
              <w:t>)</w:t>
            </w:r>
          </w:p>
        </w:tc>
      </w:tr>
      <w:tr w:rsidR="00A44391" w:rsidRPr="004D70F4" w14:paraId="10D0A28C" w14:textId="77777777" w:rsidTr="11FAFD31">
        <w:tc>
          <w:tcPr>
            <w:tcW w:w="1885" w:type="dxa"/>
            <w:vAlign w:val="center"/>
          </w:tcPr>
          <w:p w14:paraId="797C73C4" w14:textId="76AEAD96" w:rsidR="00A44391" w:rsidRPr="004D70F4" w:rsidRDefault="00A44391" w:rsidP="00583870">
            <w:pPr>
              <w:pStyle w:val="TableText"/>
            </w:pPr>
            <w:r>
              <w:t xml:space="preserve">Proportion of </w:t>
            </w:r>
            <w:r w:rsidR="00D02146" w:rsidRPr="11FAFD31">
              <w:rPr>
                <w:i/>
                <w:iCs/>
              </w:rPr>
              <w:t>d</w:t>
            </w:r>
            <w:r w:rsidRPr="11FAFD31">
              <w:rPr>
                <w:i/>
                <w:iCs/>
              </w:rPr>
              <w:t xml:space="preserve">e </w:t>
            </w:r>
            <w:r w:rsidR="00D02146" w:rsidRPr="11FAFD31">
              <w:rPr>
                <w:i/>
                <w:iCs/>
              </w:rPr>
              <w:t>n</w:t>
            </w:r>
            <w:r w:rsidRPr="11FAFD31">
              <w:rPr>
                <w:i/>
                <w:iCs/>
              </w:rPr>
              <w:t>ovo</w:t>
            </w:r>
            <w:r>
              <w:t xml:space="preserve"> / recurrent </w:t>
            </w:r>
            <w:r w:rsidR="0039020D">
              <w:t>p</w:t>
            </w:r>
            <w:r>
              <w:t>atients in HER2-/HR+</w:t>
            </w:r>
          </w:p>
        </w:tc>
        <w:tc>
          <w:tcPr>
            <w:tcW w:w="1170" w:type="dxa"/>
            <w:vAlign w:val="center"/>
          </w:tcPr>
          <w:p w14:paraId="36722EE0" w14:textId="77777777" w:rsidR="00A44391" w:rsidRPr="004D70F4" w:rsidRDefault="00A44391" w:rsidP="00583870">
            <w:pPr>
              <w:pStyle w:val="TableText"/>
            </w:pPr>
            <w:r w:rsidRPr="00C82B6C">
              <w:rPr>
                <w:shd w:val="clear" w:color="auto" w:fill="FFFFFF" w:themeFill="background1"/>
              </w:rPr>
              <w:t>34</w:t>
            </w:r>
            <w:r w:rsidRPr="004D70F4">
              <w:t>%</w:t>
            </w:r>
          </w:p>
        </w:tc>
        <w:tc>
          <w:tcPr>
            <w:tcW w:w="2520" w:type="dxa"/>
            <w:vAlign w:val="center"/>
          </w:tcPr>
          <w:p w14:paraId="557D06D7" w14:textId="77777777" w:rsidR="00A44391" w:rsidRPr="004D70F4" w:rsidRDefault="00A44391" w:rsidP="00583870">
            <w:pPr>
              <w:pStyle w:val="TableText"/>
            </w:pPr>
            <w:r w:rsidRPr="004D70F4">
              <w:t xml:space="preserve">Average of ARORA registry and Karma Registry average </w:t>
            </w:r>
          </w:p>
        </w:tc>
        <w:tc>
          <w:tcPr>
            <w:tcW w:w="3605" w:type="dxa"/>
            <w:vAlign w:val="center"/>
          </w:tcPr>
          <w:p w14:paraId="387C3A2D" w14:textId="79917BE4" w:rsidR="00A44391" w:rsidRPr="0066027B" w:rsidRDefault="00A44391" w:rsidP="00583870">
            <w:pPr>
              <w:pStyle w:val="TableText"/>
            </w:pPr>
            <w:r w:rsidRPr="0066027B">
              <w:t xml:space="preserve">Substantially greater than the 12.6% </w:t>
            </w:r>
            <w:r w:rsidRPr="00D02146">
              <w:rPr>
                <w:i/>
                <w:iCs/>
              </w:rPr>
              <w:t xml:space="preserve">de novo </w:t>
            </w:r>
            <w:r w:rsidRPr="0066027B">
              <w:t>patients in the OlympiAD trial</w:t>
            </w:r>
            <w:r w:rsidR="006A53AC">
              <w:t>, s</w:t>
            </w:r>
            <w:r w:rsidRPr="0066027B">
              <w:t xml:space="preserve">ee paragraph </w:t>
            </w:r>
            <w:r w:rsidRPr="0066027B">
              <w:fldChar w:fldCharType="begin"/>
            </w:r>
            <w:r w:rsidRPr="0066027B">
              <w:instrText xml:space="preserve"> REF _Ref166437735 \r \h  \* MERGEFORMAT </w:instrText>
            </w:r>
            <w:r w:rsidRPr="0066027B">
              <w:fldChar w:fldCharType="separate"/>
            </w:r>
            <w:r w:rsidR="00325DE1">
              <w:t>0</w:t>
            </w:r>
            <w:r w:rsidRPr="0066027B">
              <w:fldChar w:fldCharType="end"/>
            </w:r>
          </w:p>
        </w:tc>
      </w:tr>
      <w:tr w:rsidR="00A44391" w:rsidRPr="004D70F4" w14:paraId="2F661AFD" w14:textId="77777777" w:rsidTr="11FAFD31">
        <w:tc>
          <w:tcPr>
            <w:tcW w:w="1885" w:type="dxa"/>
            <w:vAlign w:val="center"/>
          </w:tcPr>
          <w:p w14:paraId="2EF8924D" w14:textId="11594245" w:rsidR="00A44391" w:rsidRPr="004D70F4" w:rsidRDefault="00A44391" w:rsidP="00583870">
            <w:pPr>
              <w:pStyle w:val="TableText"/>
            </w:pPr>
            <w:r>
              <w:t xml:space="preserve">Proportion of </w:t>
            </w:r>
            <w:r w:rsidR="72B01DCA" w:rsidRPr="11FAFD31">
              <w:rPr>
                <w:i/>
                <w:iCs/>
              </w:rPr>
              <w:t>d</w:t>
            </w:r>
            <w:r w:rsidRPr="11FAFD31">
              <w:rPr>
                <w:i/>
                <w:iCs/>
              </w:rPr>
              <w:t xml:space="preserve">e </w:t>
            </w:r>
            <w:r w:rsidR="72B01DCA" w:rsidRPr="11FAFD31">
              <w:rPr>
                <w:i/>
                <w:iCs/>
              </w:rPr>
              <w:t>n</w:t>
            </w:r>
            <w:r w:rsidRPr="11FAFD31">
              <w:rPr>
                <w:i/>
                <w:iCs/>
              </w:rPr>
              <w:t>ovo</w:t>
            </w:r>
            <w:r>
              <w:t xml:space="preserve"> TNBC patients</w:t>
            </w:r>
          </w:p>
        </w:tc>
        <w:tc>
          <w:tcPr>
            <w:tcW w:w="1170" w:type="dxa"/>
            <w:vAlign w:val="center"/>
          </w:tcPr>
          <w:p w14:paraId="11116BB8" w14:textId="77777777" w:rsidR="00A44391" w:rsidRPr="004D70F4" w:rsidRDefault="00A44391" w:rsidP="00583870">
            <w:pPr>
              <w:pStyle w:val="TableText"/>
            </w:pPr>
            <w:r w:rsidRPr="00C82B6C">
              <w:rPr>
                <w:shd w:val="clear" w:color="auto" w:fill="FFFFFF" w:themeFill="background1"/>
              </w:rPr>
              <w:t>20.5</w:t>
            </w:r>
            <w:r w:rsidRPr="004D70F4">
              <w:t>%</w:t>
            </w:r>
          </w:p>
        </w:tc>
        <w:tc>
          <w:tcPr>
            <w:tcW w:w="2520" w:type="dxa"/>
            <w:vAlign w:val="center"/>
          </w:tcPr>
          <w:p w14:paraId="645E19DB" w14:textId="284FFF26" w:rsidR="00A44391" w:rsidRPr="004D70F4" w:rsidRDefault="00A44391" w:rsidP="00583870">
            <w:pPr>
              <w:pStyle w:val="TableText"/>
            </w:pPr>
            <w:r w:rsidRPr="004D70F4">
              <w:t xml:space="preserve">Midpoint of North Carolina mBC registry (File 2022) and PRAEGNANT (Muller 2022), a German prospective breast cancer registry to assess treatment patterns and quality of life and to identify patients who may be eligible for clinical trials or specific targeted treatments. </w:t>
            </w:r>
          </w:p>
        </w:tc>
        <w:tc>
          <w:tcPr>
            <w:tcW w:w="3605" w:type="dxa"/>
            <w:vAlign w:val="center"/>
          </w:tcPr>
          <w:p w14:paraId="0912C040" w14:textId="54020336" w:rsidR="00A44391" w:rsidRPr="0066027B" w:rsidRDefault="00A44391" w:rsidP="00583870">
            <w:pPr>
              <w:pStyle w:val="TableText"/>
            </w:pPr>
            <w:r w:rsidRPr="0066027B">
              <w:t xml:space="preserve">It was unclear to what extent these estimates would be applicable to the Australian setting. 34.8% of TNBC patients were assumed to be diagnosed with unresectable locally advanced or </w:t>
            </w:r>
            <w:r w:rsidRPr="006A53AC">
              <w:rPr>
                <w:i/>
                <w:iCs/>
              </w:rPr>
              <w:t>de novo</w:t>
            </w:r>
            <w:r w:rsidRPr="0066027B">
              <w:t xml:space="preserve"> metastatic TNBC</w:t>
            </w:r>
            <w:r w:rsidR="006A53AC">
              <w:t xml:space="preserve"> (Table 15 </w:t>
            </w:r>
            <w:hyperlink r:id="rId25" w:history="1">
              <w:r w:rsidR="006A53AC">
                <w:rPr>
                  <w:rStyle w:val="Hyperlink"/>
                </w:rPr>
                <w:t>sacituzumab govitecan PSD November 2021 PBAC meeting</w:t>
              </w:r>
            </w:hyperlink>
            <w:r w:rsidR="006A53AC">
              <w:t xml:space="preserve">) </w:t>
            </w:r>
          </w:p>
        </w:tc>
      </w:tr>
      <w:tr w:rsidR="00A44391" w:rsidRPr="004D70F4" w14:paraId="7F540D2F" w14:textId="77777777" w:rsidTr="11FAFD31">
        <w:tc>
          <w:tcPr>
            <w:tcW w:w="9180" w:type="dxa"/>
            <w:gridSpan w:val="4"/>
            <w:vAlign w:val="center"/>
          </w:tcPr>
          <w:p w14:paraId="7B26172D" w14:textId="77777777" w:rsidR="00A44391" w:rsidRPr="004D70F4" w:rsidRDefault="00A44391" w:rsidP="00583870">
            <w:pPr>
              <w:pStyle w:val="TableText"/>
              <w:rPr>
                <w:b/>
              </w:rPr>
            </w:pPr>
            <w:r w:rsidRPr="004D70F4">
              <w:rPr>
                <w:b/>
              </w:rPr>
              <w:t>Treatment utilisation</w:t>
            </w:r>
          </w:p>
        </w:tc>
      </w:tr>
      <w:tr w:rsidR="00A44391" w:rsidRPr="004D70F4" w14:paraId="0534592F" w14:textId="77777777" w:rsidTr="11FAFD31">
        <w:tc>
          <w:tcPr>
            <w:tcW w:w="1885" w:type="dxa"/>
            <w:vAlign w:val="center"/>
          </w:tcPr>
          <w:p w14:paraId="568ABD3B" w14:textId="77777777" w:rsidR="00A44391" w:rsidRPr="004D70F4" w:rsidRDefault="00A44391" w:rsidP="00583870">
            <w:pPr>
              <w:pStyle w:val="TableText"/>
            </w:pPr>
            <w:r w:rsidRPr="004D70F4">
              <w:t>Average duration of Olaparib treatment</w:t>
            </w:r>
          </w:p>
        </w:tc>
        <w:tc>
          <w:tcPr>
            <w:tcW w:w="1170" w:type="dxa"/>
            <w:vAlign w:val="center"/>
          </w:tcPr>
          <w:p w14:paraId="238A75B3" w14:textId="084D048D" w:rsidR="00A44391" w:rsidRPr="004D70F4" w:rsidRDefault="00A44391" w:rsidP="00583870">
            <w:pPr>
              <w:pStyle w:val="TableText"/>
            </w:pPr>
            <w:r w:rsidRPr="0090680E">
              <w:t>373.06</w:t>
            </w:r>
            <w:r w:rsidRPr="004D70F4">
              <w:t xml:space="preserve"> days</w:t>
            </w:r>
          </w:p>
        </w:tc>
        <w:tc>
          <w:tcPr>
            <w:tcW w:w="2520" w:type="dxa"/>
            <w:vAlign w:val="center"/>
          </w:tcPr>
          <w:p w14:paraId="11D211C5" w14:textId="77777777" w:rsidR="00A44391" w:rsidRPr="004D70F4" w:rsidRDefault="00A44391" w:rsidP="00583870">
            <w:pPr>
              <w:pStyle w:val="TableText"/>
            </w:pPr>
            <w:r w:rsidRPr="004D70F4">
              <w:t>Submission economic evaluation</w:t>
            </w:r>
          </w:p>
        </w:tc>
        <w:tc>
          <w:tcPr>
            <w:tcW w:w="3605" w:type="dxa"/>
            <w:vAlign w:val="center"/>
          </w:tcPr>
          <w:p w14:paraId="43007FD1" w14:textId="00F88DBE" w:rsidR="00A44391" w:rsidRPr="0066027B" w:rsidRDefault="00A44391" w:rsidP="00583870">
            <w:pPr>
              <w:pStyle w:val="TableText"/>
            </w:pPr>
            <w:r w:rsidRPr="0066027B">
              <w:t>This was consistent with the economic evaluation for the no prior chemotherapy subgroup. However may be underestimated as patients will not be assessed for progression as frequently in clinical practice and may remain on treatment for longer.</w:t>
            </w:r>
          </w:p>
        </w:tc>
      </w:tr>
      <w:tr w:rsidR="00A44391" w:rsidRPr="004D70F4" w14:paraId="355F3B75" w14:textId="77777777" w:rsidTr="11FAFD31">
        <w:tc>
          <w:tcPr>
            <w:tcW w:w="1885" w:type="dxa"/>
            <w:vAlign w:val="center"/>
          </w:tcPr>
          <w:p w14:paraId="444E14E6" w14:textId="77777777" w:rsidR="00A44391" w:rsidRPr="004D70F4" w:rsidRDefault="00A44391" w:rsidP="00583870">
            <w:pPr>
              <w:pStyle w:val="TableText"/>
            </w:pPr>
            <w:r w:rsidRPr="004D70F4">
              <w:t>Cost of germline BRCA1 or BRCA2 mutation testing</w:t>
            </w:r>
          </w:p>
        </w:tc>
        <w:tc>
          <w:tcPr>
            <w:tcW w:w="1170" w:type="dxa"/>
            <w:vAlign w:val="center"/>
          </w:tcPr>
          <w:p w14:paraId="02849792" w14:textId="77777777" w:rsidR="00A44391" w:rsidRPr="004D70F4" w:rsidRDefault="00A44391" w:rsidP="00583870">
            <w:pPr>
              <w:pStyle w:val="TableText"/>
            </w:pPr>
            <w:r w:rsidRPr="004D70F4">
              <w:t>$1,200</w:t>
            </w:r>
          </w:p>
        </w:tc>
        <w:tc>
          <w:tcPr>
            <w:tcW w:w="2520" w:type="dxa"/>
            <w:vAlign w:val="center"/>
          </w:tcPr>
          <w:p w14:paraId="33B7719D" w14:textId="77777777" w:rsidR="00A44391" w:rsidRPr="004D70F4" w:rsidRDefault="00A44391" w:rsidP="00583870">
            <w:pPr>
              <w:pStyle w:val="TableText"/>
            </w:pPr>
            <w:r w:rsidRPr="004D70F4">
              <w:t>MBS item 73295</w:t>
            </w:r>
          </w:p>
        </w:tc>
        <w:tc>
          <w:tcPr>
            <w:tcW w:w="3605" w:type="dxa"/>
            <w:vAlign w:val="center"/>
          </w:tcPr>
          <w:p w14:paraId="1F8E6902" w14:textId="77777777" w:rsidR="00A44391" w:rsidRPr="0066027B" w:rsidRDefault="00A44391" w:rsidP="00583870">
            <w:pPr>
              <w:pStyle w:val="TableText"/>
            </w:pPr>
            <w:r w:rsidRPr="0066027B">
              <w:t>Consistent with existing MBS item</w:t>
            </w:r>
          </w:p>
        </w:tc>
      </w:tr>
    </w:tbl>
    <w:p w14:paraId="2178C728" w14:textId="77777777" w:rsidR="00A44391" w:rsidRPr="004D70F4" w:rsidRDefault="00A44391" w:rsidP="00A44391">
      <w:pPr>
        <w:pStyle w:val="FooterTableFigure"/>
      </w:pPr>
      <w:r w:rsidRPr="004D70F4">
        <w:t>Source: Tables 4.1, p157 of the submission.</w:t>
      </w:r>
    </w:p>
    <w:p w14:paraId="317D003B" w14:textId="77777777" w:rsidR="00A44391" w:rsidRPr="004D70F4" w:rsidRDefault="00A44391" w:rsidP="00A44391">
      <w:pPr>
        <w:pStyle w:val="FooterTableFigure"/>
        <w:rPr>
          <w:sz w:val="20"/>
        </w:rPr>
      </w:pPr>
      <w:r w:rsidRPr="004D70F4">
        <w:t xml:space="preserve">AIHW = Australian Institute for Health and Wellness; CDK = cyclin-dependent kinase; DPMQ = dispensed price per maximum quantity; DUSC = Drug utilisation </w:t>
      </w:r>
      <w:r>
        <w:t>S</w:t>
      </w:r>
      <w:r w:rsidRPr="004D70F4">
        <w:t xml:space="preserve">ub </w:t>
      </w:r>
      <w:r>
        <w:t>C</w:t>
      </w:r>
      <w:r w:rsidRPr="004D70F4">
        <w:t>ommittee; eBC = early breast cancer; HER2 = Human epidermal growth factor receptor; HR + = hormone receptor positive; mBC = metastatic breast cancer; MBS = Medicare benefits schedule; PBS = Pharmaceutical Benefits Scheme; PSD = Public Summary Document; TNBC = triple negative breast cancer;</w:t>
      </w:r>
    </w:p>
    <w:p w14:paraId="0AB7980F" w14:textId="5752FCBF" w:rsidR="007575A9" w:rsidRPr="007575A9" w:rsidRDefault="00335562" w:rsidP="007575A9">
      <w:r w:rsidRPr="00801332">
        <w:fldChar w:fldCharType="begin"/>
      </w:r>
      <w:r w:rsidRPr="00801332">
        <w:instrText xml:space="preserve"> REF _Ref165479405 \h </w:instrText>
      </w:r>
      <w:r w:rsidR="00801332" w:rsidRPr="00801332">
        <w:instrText xml:space="preserve"> \* MERGEFORMAT </w:instrText>
      </w:r>
      <w:r w:rsidRPr="00801332">
        <w:fldChar w:fldCharType="separate"/>
      </w:r>
      <w:r w:rsidR="00325DE1" w:rsidRPr="009B0C25">
        <w:rPr>
          <w:rStyle w:val="CommentReference"/>
          <w:sz w:val="22"/>
          <w:szCs w:val="22"/>
        </w:rPr>
        <w:t xml:space="preserve">Table </w:t>
      </w:r>
      <w:r w:rsidR="00325DE1" w:rsidRPr="009B0C25">
        <w:rPr>
          <w:rStyle w:val="CommentReference"/>
          <w:noProof/>
          <w:sz w:val="22"/>
          <w:szCs w:val="22"/>
        </w:rPr>
        <w:t>16</w:t>
      </w:r>
      <w:r w:rsidRPr="00801332">
        <w:fldChar w:fldCharType="end"/>
      </w:r>
      <w:r w:rsidRPr="00801332">
        <w:t xml:space="preserve"> </w:t>
      </w:r>
      <w:r w:rsidR="007575A9" w:rsidRPr="00801332">
        <w:t>p</w:t>
      </w:r>
      <w:r w:rsidR="007575A9" w:rsidRPr="007575A9">
        <w:t xml:space="preserve">resents the estimated number of patients eligible for olaparib, which ranged from </w:t>
      </w:r>
      <w:r w:rsidR="00C960A2" w:rsidRPr="0090680E">
        <w:t xml:space="preserve">&lt;500 </w:t>
      </w:r>
      <w:r w:rsidR="007575A9" w:rsidRPr="00F335E3">
        <w:t xml:space="preserve">in Year 1 to </w:t>
      </w:r>
      <w:r w:rsidR="00C960A2" w:rsidRPr="0090680E">
        <w:t>&lt;500</w:t>
      </w:r>
      <w:r w:rsidR="00C960A2" w:rsidRPr="007575A9">
        <w:t xml:space="preserve"> </w:t>
      </w:r>
      <w:r w:rsidR="007575A9" w:rsidRPr="007575A9">
        <w:t xml:space="preserve">in Year 6. The submission assumed that 100% of eligible patients would receive treatment with olaparib. </w:t>
      </w:r>
    </w:p>
    <w:p w14:paraId="18F54D29" w14:textId="25B713EA" w:rsidR="007575A9" w:rsidRDefault="007575A9" w:rsidP="006A687C">
      <w:pPr>
        <w:pStyle w:val="Caption"/>
        <w:rPr>
          <w:rStyle w:val="CommentReference"/>
          <w:sz w:val="20"/>
          <w:szCs w:val="20"/>
        </w:rPr>
      </w:pPr>
      <w:bookmarkStart w:id="47" w:name="_Ref165479405"/>
      <w:bookmarkStart w:id="48" w:name="_Hlk165630502"/>
      <w:r w:rsidRPr="0066027B">
        <w:rPr>
          <w:rStyle w:val="CommentReference"/>
          <w:sz w:val="20"/>
          <w:szCs w:val="20"/>
        </w:rPr>
        <w:lastRenderedPageBreak/>
        <w:t xml:space="preserve">Table </w:t>
      </w:r>
      <w:r w:rsidRPr="0066027B">
        <w:rPr>
          <w:rStyle w:val="CommentReference"/>
          <w:sz w:val="20"/>
          <w:szCs w:val="20"/>
        </w:rPr>
        <w:fldChar w:fldCharType="begin"/>
      </w:r>
      <w:r w:rsidRPr="0066027B">
        <w:rPr>
          <w:rStyle w:val="CommentReference"/>
          <w:sz w:val="20"/>
          <w:szCs w:val="20"/>
        </w:rPr>
        <w:instrText xml:space="preserve"> SEQ Table \* ARABIC </w:instrText>
      </w:r>
      <w:r w:rsidRPr="0066027B">
        <w:rPr>
          <w:rStyle w:val="CommentReference"/>
          <w:sz w:val="20"/>
          <w:szCs w:val="20"/>
        </w:rPr>
        <w:fldChar w:fldCharType="separate"/>
      </w:r>
      <w:r w:rsidR="00325DE1">
        <w:rPr>
          <w:rStyle w:val="CommentReference"/>
          <w:noProof/>
          <w:sz w:val="20"/>
          <w:szCs w:val="20"/>
        </w:rPr>
        <w:t>16</w:t>
      </w:r>
      <w:r w:rsidRPr="0066027B">
        <w:rPr>
          <w:rStyle w:val="CommentReference"/>
          <w:sz w:val="20"/>
          <w:szCs w:val="20"/>
        </w:rPr>
        <w:fldChar w:fldCharType="end"/>
      </w:r>
      <w:bookmarkEnd w:id="47"/>
      <w:r w:rsidRPr="0066027B">
        <w:rPr>
          <w:rStyle w:val="CommentReference"/>
          <w:sz w:val="20"/>
          <w:szCs w:val="20"/>
        </w:rPr>
        <w:t xml:space="preserve">: Estimated number of TNBC and HR+ HER2-negative patients eligible for </w:t>
      </w:r>
      <w:r w:rsidR="00F335E3">
        <w:rPr>
          <w:rStyle w:val="CommentReference"/>
          <w:sz w:val="20"/>
          <w:szCs w:val="20"/>
        </w:rPr>
        <w:t>Olaparib</w:t>
      </w:r>
    </w:p>
    <w:tbl>
      <w:tblPr>
        <w:tblStyle w:val="TableGrid"/>
        <w:tblW w:w="8819" w:type="dxa"/>
        <w:tblCellMar>
          <w:left w:w="28" w:type="dxa"/>
          <w:right w:w="28" w:type="dxa"/>
        </w:tblCellMar>
        <w:tblLook w:val="04A0" w:firstRow="1" w:lastRow="0" w:firstColumn="1" w:lastColumn="0" w:noHBand="0" w:noVBand="1"/>
      </w:tblPr>
      <w:tblGrid>
        <w:gridCol w:w="3158"/>
        <w:gridCol w:w="943"/>
        <w:gridCol w:w="944"/>
        <w:gridCol w:w="943"/>
        <w:gridCol w:w="944"/>
        <w:gridCol w:w="943"/>
        <w:gridCol w:w="944"/>
      </w:tblGrid>
      <w:tr w:rsidR="00294EA5" w:rsidRPr="00C530D6" w14:paraId="26216314" w14:textId="77777777" w:rsidTr="11FAFD31">
        <w:tc>
          <w:tcPr>
            <w:tcW w:w="3158" w:type="dxa"/>
            <w:shd w:val="clear" w:color="auto" w:fill="auto"/>
          </w:tcPr>
          <w:p w14:paraId="159DE3E1" w14:textId="77777777" w:rsidR="007575A9" w:rsidRPr="004D70F4" w:rsidRDefault="007575A9" w:rsidP="006A687C">
            <w:pPr>
              <w:pStyle w:val="TableText"/>
              <w:keepNext/>
              <w:rPr>
                <w:b/>
              </w:rPr>
            </w:pPr>
          </w:p>
        </w:tc>
        <w:tc>
          <w:tcPr>
            <w:tcW w:w="943" w:type="dxa"/>
            <w:shd w:val="clear" w:color="auto" w:fill="auto"/>
            <w:vAlign w:val="center"/>
          </w:tcPr>
          <w:p w14:paraId="653BFB3D" w14:textId="77777777" w:rsidR="007575A9" w:rsidRPr="00C530D6" w:rsidRDefault="007575A9" w:rsidP="006A687C">
            <w:pPr>
              <w:pStyle w:val="TableText"/>
              <w:keepNext/>
              <w:jc w:val="center"/>
              <w:rPr>
                <w:b/>
              </w:rPr>
            </w:pPr>
            <w:r w:rsidRPr="00C530D6">
              <w:rPr>
                <w:b/>
              </w:rPr>
              <w:t>2025</w:t>
            </w:r>
          </w:p>
        </w:tc>
        <w:tc>
          <w:tcPr>
            <w:tcW w:w="944" w:type="dxa"/>
            <w:shd w:val="clear" w:color="auto" w:fill="auto"/>
            <w:vAlign w:val="center"/>
          </w:tcPr>
          <w:p w14:paraId="49223E75" w14:textId="77777777" w:rsidR="007575A9" w:rsidRPr="00C530D6" w:rsidRDefault="007575A9" w:rsidP="006A687C">
            <w:pPr>
              <w:pStyle w:val="TableText"/>
              <w:keepNext/>
              <w:jc w:val="center"/>
              <w:rPr>
                <w:b/>
              </w:rPr>
            </w:pPr>
            <w:r w:rsidRPr="00C530D6">
              <w:rPr>
                <w:b/>
              </w:rPr>
              <w:t>2026</w:t>
            </w:r>
          </w:p>
        </w:tc>
        <w:tc>
          <w:tcPr>
            <w:tcW w:w="943" w:type="dxa"/>
            <w:shd w:val="clear" w:color="auto" w:fill="auto"/>
            <w:vAlign w:val="center"/>
          </w:tcPr>
          <w:p w14:paraId="41C2EC8A" w14:textId="77777777" w:rsidR="007575A9" w:rsidRPr="00C530D6" w:rsidRDefault="007575A9" w:rsidP="006A687C">
            <w:pPr>
              <w:pStyle w:val="TableText"/>
              <w:keepNext/>
              <w:jc w:val="center"/>
              <w:rPr>
                <w:b/>
              </w:rPr>
            </w:pPr>
            <w:r w:rsidRPr="00C530D6">
              <w:rPr>
                <w:b/>
              </w:rPr>
              <w:t>2027</w:t>
            </w:r>
          </w:p>
        </w:tc>
        <w:tc>
          <w:tcPr>
            <w:tcW w:w="944" w:type="dxa"/>
            <w:shd w:val="clear" w:color="auto" w:fill="auto"/>
            <w:vAlign w:val="center"/>
          </w:tcPr>
          <w:p w14:paraId="6DF94265" w14:textId="77777777" w:rsidR="007575A9" w:rsidRPr="00C530D6" w:rsidRDefault="007575A9" w:rsidP="006A687C">
            <w:pPr>
              <w:pStyle w:val="TableText"/>
              <w:keepNext/>
              <w:jc w:val="center"/>
              <w:rPr>
                <w:b/>
              </w:rPr>
            </w:pPr>
            <w:r w:rsidRPr="00C530D6">
              <w:rPr>
                <w:b/>
              </w:rPr>
              <w:t>2028</w:t>
            </w:r>
          </w:p>
        </w:tc>
        <w:tc>
          <w:tcPr>
            <w:tcW w:w="943" w:type="dxa"/>
            <w:shd w:val="clear" w:color="auto" w:fill="auto"/>
            <w:vAlign w:val="center"/>
          </w:tcPr>
          <w:p w14:paraId="0E751BD9" w14:textId="77777777" w:rsidR="007575A9" w:rsidRPr="00C530D6" w:rsidRDefault="007575A9" w:rsidP="006A687C">
            <w:pPr>
              <w:pStyle w:val="TableText"/>
              <w:keepNext/>
              <w:jc w:val="center"/>
              <w:rPr>
                <w:b/>
              </w:rPr>
            </w:pPr>
            <w:r w:rsidRPr="00C530D6">
              <w:rPr>
                <w:b/>
              </w:rPr>
              <w:t>2029</w:t>
            </w:r>
          </w:p>
        </w:tc>
        <w:tc>
          <w:tcPr>
            <w:tcW w:w="944" w:type="dxa"/>
            <w:shd w:val="clear" w:color="auto" w:fill="auto"/>
            <w:vAlign w:val="center"/>
          </w:tcPr>
          <w:p w14:paraId="3DBA10C0" w14:textId="77777777" w:rsidR="007575A9" w:rsidRPr="00C530D6" w:rsidRDefault="007575A9" w:rsidP="006A687C">
            <w:pPr>
              <w:pStyle w:val="TableText"/>
              <w:keepNext/>
              <w:jc w:val="center"/>
              <w:rPr>
                <w:b/>
              </w:rPr>
            </w:pPr>
            <w:r w:rsidRPr="00C530D6">
              <w:rPr>
                <w:b/>
              </w:rPr>
              <w:t>2030</w:t>
            </w:r>
          </w:p>
        </w:tc>
      </w:tr>
      <w:tr w:rsidR="007575A9" w:rsidRPr="00C530D6" w14:paraId="3A3191B1" w14:textId="77777777" w:rsidTr="11FAFD31">
        <w:tc>
          <w:tcPr>
            <w:tcW w:w="8819" w:type="dxa"/>
            <w:gridSpan w:val="7"/>
            <w:shd w:val="clear" w:color="auto" w:fill="auto"/>
          </w:tcPr>
          <w:p w14:paraId="69E2BB1F" w14:textId="77777777" w:rsidR="007575A9" w:rsidRPr="00C530D6" w:rsidRDefault="007575A9" w:rsidP="006A687C">
            <w:pPr>
              <w:pStyle w:val="TableText"/>
              <w:keepNext/>
              <w:rPr>
                <w:b/>
              </w:rPr>
            </w:pPr>
            <w:r w:rsidRPr="00C530D6">
              <w:rPr>
                <w:b/>
              </w:rPr>
              <w:t>TNBC patients</w:t>
            </w:r>
          </w:p>
        </w:tc>
      </w:tr>
      <w:tr w:rsidR="00C567E7" w:rsidRPr="00C530D6" w14:paraId="5D6F54BE" w14:textId="77777777" w:rsidTr="0090680E">
        <w:tc>
          <w:tcPr>
            <w:tcW w:w="3158" w:type="dxa"/>
            <w:shd w:val="clear" w:color="auto" w:fill="auto"/>
          </w:tcPr>
          <w:p w14:paraId="1AAF0FB1" w14:textId="77777777" w:rsidR="007575A9" w:rsidRPr="00C530D6" w:rsidRDefault="007575A9" w:rsidP="006A687C">
            <w:pPr>
              <w:pStyle w:val="TableText"/>
              <w:keepNext/>
            </w:pPr>
            <w:r w:rsidRPr="00C530D6">
              <w:t>Incident population</w:t>
            </w:r>
          </w:p>
        </w:tc>
        <w:tc>
          <w:tcPr>
            <w:tcW w:w="943" w:type="dxa"/>
            <w:shd w:val="clear" w:color="auto" w:fill="auto"/>
            <w:vAlign w:val="center"/>
          </w:tcPr>
          <w:p w14:paraId="48F9AB5A" w14:textId="3F3685CB" w:rsidR="007575A9" w:rsidRPr="0090680E" w:rsidRDefault="0090680E" w:rsidP="006A687C">
            <w:pPr>
              <w:pStyle w:val="TableText"/>
              <w:keepNext/>
              <w:jc w:val="center"/>
              <w:rPr>
                <w:vertAlign w:val="superscript"/>
              </w:rPr>
            </w:pPr>
            <w:r w:rsidRPr="0090680E">
              <w:rPr>
                <w:b/>
                <w:bCs/>
              </w:rPr>
              <w:t>redacted</w:t>
            </w:r>
            <w:r w:rsidR="00C567E7">
              <w:rPr>
                <w:vertAlign w:val="superscript"/>
              </w:rPr>
              <w:t xml:space="preserve">1 </w:t>
            </w:r>
          </w:p>
        </w:tc>
        <w:tc>
          <w:tcPr>
            <w:tcW w:w="944" w:type="dxa"/>
            <w:shd w:val="clear" w:color="auto" w:fill="auto"/>
            <w:vAlign w:val="center"/>
          </w:tcPr>
          <w:p w14:paraId="2D2F826C" w14:textId="29B79BAF" w:rsidR="007575A9" w:rsidRPr="001559E2" w:rsidRDefault="0090680E" w:rsidP="006A687C">
            <w:pPr>
              <w:pStyle w:val="TableText"/>
              <w:keepNext/>
              <w:jc w:val="center"/>
            </w:pPr>
            <w:r w:rsidRPr="0090680E">
              <w:rPr>
                <w:b/>
                <w:bCs/>
              </w:rPr>
              <w:t>redacted</w:t>
            </w:r>
            <w:r w:rsidR="00C567E7" w:rsidRPr="0090680E">
              <w:rPr>
                <w:vertAlign w:val="superscript"/>
              </w:rPr>
              <w:t>1</w:t>
            </w:r>
          </w:p>
        </w:tc>
        <w:tc>
          <w:tcPr>
            <w:tcW w:w="943" w:type="dxa"/>
            <w:shd w:val="clear" w:color="auto" w:fill="auto"/>
            <w:vAlign w:val="center"/>
          </w:tcPr>
          <w:p w14:paraId="12AB4433" w14:textId="03DC4160" w:rsidR="007575A9" w:rsidRPr="001559E2" w:rsidRDefault="0090680E" w:rsidP="006A687C">
            <w:pPr>
              <w:pStyle w:val="TableText"/>
              <w:keepNext/>
              <w:jc w:val="center"/>
            </w:pPr>
            <w:r w:rsidRPr="0090680E">
              <w:rPr>
                <w:b/>
                <w:bCs/>
              </w:rPr>
              <w:t>redacted</w:t>
            </w:r>
            <w:r w:rsidR="00C567E7" w:rsidRPr="003B3240">
              <w:rPr>
                <w:vertAlign w:val="superscript"/>
              </w:rPr>
              <w:t>1</w:t>
            </w:r>
          </w:p>
        </w:tc>
        <w:tc>
          <w:tcPr>
            <w:tcW w:w="944" w:type="dxa"/>
            <w:shd w:val="clear" w:color="auto" w:fill="auto"/>
            <w:vAlign w:val="center"/>
          </w:tcPr>
          <w:p w14:paraId="4F641FA2" w14:textId="33C4A737" w:rsidR="007575A9" w:rsidRPr="001559E2" w:rsidRDefault="0090680E" w:rsidP="006A687C">
            <w:pPr>
              <w:pStyle w:val="TableText"/>
              <w:keepNext/>
              <w:jc w:val="center"/>
            </w:pPr>
            <w:r w:rsidRPr="0090680E">
              <w:rPr>
                <w:b/>
                <w:bCs/>
              </w:rPr>
              <w:t>redacted</w:t>
            </w:r>
            <w:r w:rsidR="00C567E7" w:rsidRPr="003B3240">
              <w:rPr>
                <w:vertAlign w:val="superscript"/>
              </w:rPr>
              <w:t>1</w:t>
            </w:r>
          </w:p>
        </w:tc>
        <w:tc>
          <w:tcPr>
            <w:tcW w:w="943" w:type="dxa"/>
            <w:shd w:val="clear" w:color="auto" w:fill="auto"/>
            <w:vAlign w:val="center"/>
          </w:tcPr>
          <w:p w14:paraId="4F1E7227" w14:textId="1A4FAA52" w:rsidR="007575A9" w:rsidRPr="001559E2" w:rsidRDefault="0090680E" w:rsidP="006A687C">
            <w:pPr>
              <w:pStyle w:val="TableText"/>
              <w:keepNext/>
              <w:jc w:val="center"/>
            </w:pPr>
            <w:r w:rsidRPr="0090680E">
              <w:rPr>
                <w:b/>
                <w:bCs/>
              </w:rPr>
              <w:t>redacted</w:t>
            </w:r>
            <w:r w:rsidR="00C567E7" w:rsidRPr="003B3240">
              <w:rPr>
                <w:vertAlign w:val="superscript"/>
              </w:rPr>
              <w:t>1</w:t>
            </w:r>
          </w:p>
        </w:tc>
        <w:tc>
          <w:tcPr>
            <w:tcW w:w="944" w:type="dxa"/>
            <w:shd w:val="clear" w:color="auto" w:fill="auto"/>
            <w:vAlign w:val="center"/>
          </w:tcPr>
          <w:p w14:paraId="5E0E1603" w14:textId="7D45CE3F" w:rsidR="007575A9" w:rsidRPr="001559E2" w:rsidRDefault="0090680E" w:rsidP="006A687C">
            <w:pPr>
              <w:pStyle w:val="TableText"/>
              <w:keepNext/>
              <w:jc w:val="center"/>
            </w:pPr>
            <w:r w:rsidRPr="0090680E">
              <w:rPr>
                <w:b/>
                <w:bCs/>
              </w:rPr>
              <w:t>redacted</w:t>
            </w:r>
            <w:r w:rsidR="00C567E7" w:rsidRPr="003B3240">
              <w:rPr>
                <w:vertAlign w:val="superscript"/>
              </w:rPr>
              <w:t>1</w:t>
            </w:r>
          </w:p>
        </w:tc>
      </w:tr>
      <w:tr w:rsidR="00C567E7" w:rsidRPr="00C530D6" w14:paraId="6E895715" w14:textId="77777777" w:rsidTr="0090680E">
        <w:tc>
          <w:tcPr>
            <w:tcW w:w="3158" w:type="dxa"/>
            <w:shd w:val="clear" w:color="auto" w:fill="auto"/>
          </w:tcPr>
          <w:p w14:paraId="1312ED32" w14:textId="77777777" w:rsidR="007575A9" w:rsidRPr="00C530D6" w:rsidRDefault="007575A9" w:rsidP="006A687C">
            <w:pPr>
              <w:pStyle w:val="TableText"/>
              <w:keepNext/>
            </w:pPr>
            <w:r w:rsidRPr="00C530D6">
              <w:t>Triple negative patients (</w:t>
            </w:r>
            <w:r w:rsidRPr="0090680E">
              <w:t>15</w:t>
            </w:r>
            <w:r w:rsidRPr="00F335E3">
              <w:t>%</w:t>
            </w:r>
            <w:r w:rsidRPr="00C530D6">
              <w:t>)</w:t>
            </w:r>
          </w:p>
        </w:tc>
        <w:tc>
          <w:tcPr>
            <w:tcW w:w="943" w:type="dxa"/>
            <w:shd w:val="clear" w:color="auto" w:fill="auto"/>
            <w:vAlign w:val="center"/>
          </w:tcPr>
          <w:p w14:paraId="5822476B" w14:textId="7A064B82" w:rsidR="007575A9" w:rsidRPr="001559E2" w:rsidRDefault="0090680E" w:rsidP="006A687C">
            <w:pPr>
              <w:pStyle w:val="TableText"/>
              <w:keepNext/>
              <w:jc w:val="center"/>
            </w:pPr>
            <w:r w:rsidRPr="0090680E">
              <w:rPr>
                <w:b/>
                <w:bCs/>
              </w:rPr>
              <w:t>redacted</w:t>
            </w:r>
            <w:r w:rsidR="000F4B41">
              <w:rPr>
                <w:vertAlign w:val="superscript"/>
              </w:rPr>
              <w:t>2</w:t>
            </w:r>
          </w:p>
        </w:tc>
        <w:tc>
          <w:tcPr>
            <w:tcW w:w="944" w:type="dxa"/>
            <w:shd w:val="clear" w:color="auto" w:fill="auto"/>
            <w:vAlign w:val="center"/>
          </w:tcPr>
          <w:p w14:paraId="361AACD0" w14:textId="5E8BA78C" w:rsidR="007575A9" w:rsidRPr="001559E2" w:rsidRDefault="0090680E" w:rsidP="006A687C">
            <w:pPr>
              <w:pStyle w:val="TableText"/>
              <w:keepNext/>
              <w:jc w:val="center"/>
            </w:pPr>
            <w:r w:rsidRPr="0090680E">
              <w:rPr>
                <w:b/>
                <w:bCs/>
              </w:rPr>
              <w:t>redacted</w:t>
            </w:r>
            <w:r w:rsidR="000F4B41">
              <w:rPr>
                <w:vertAlign w:val="superscript"/>
              </w:rPr>
              <w:t>2</w:t>
            </w:r>
          </w:p>
        </w:tc>
        <w:tc>
          <w:tcPr>
            <w:tcW w:w="943" w:type="dxa"/>
            <w:shd w:val="clear" w:color="auto" w:fill="auto"/>
            <w:vAlign w:val="center"/>
          </w:tcPr>
          <w:p w14:paraId="38647257" w14:textId="2EA7804D" w:rsidR="007575A9" w:rsidRPr="001559E2" w:rsidRDefault="0090680E" w:rsidP="006A687C">
            <w:pPr>
              <w:pStyle w:val="TableText"/>
              <w:keepNext/>
              <w:jc w:val="center"/>
            </w:pPr>
            <w:r w:rsidRPr="0090680E">
              <w:rPr>
                <w:b/>
                <w:bCs/>
              </w:rPr>
              <w:t>redacted</w:t>
            </w:r>
            <w:r w:rsidR="000F4B41">
              <w:rPr>
                <w:vertAlign w:val="superscript"/>
              </w:rPr>
              <w:t>2</w:t>
            </w:r>
          </w:p>
        </w:tc>
        <w:tc>
          <w:tcPr>
            <w:tcW w:w="944" w:type="dxa"/>
            <w:shd w:val="clear" w:color="auto" w:fill="auto"/>
            <w:vAlign w:val="center"/>
          </w:tcPr>
          <w:p w14:paraId="00835817" w14:textId="6AF1C6AA" w:rsidR="007575A9" w:rsidRPr="001559E2" w:rsidRDefault="0090680E" w:rsidP="006A687C">
            <w:pPr>
              <w:pStyle w:val="TableText"/>
              <w:keepNext/>
              <w:jc w:val="center"/>
            </w:pPr>
            <w:r w:rsidRPr="0090680E">
              <w:rPr>
                <w:b/>
                <w:bCs/>
              </w:rPr>
              <w:t>redacted</w:t>
            </w:r>
            <w:r w:rsidR="000F4B41">
              <w:rPr>
                <w:vertAlign w:val="superscript"/>
              </w:rPr>
              <w:t>2</w:t>
            </w:r>
          </w:p>
        </w:tc>
        <w:tc>
          <w:tcPr>
            <w:tcW w:w="943" w:type="dxa"/>
            <w:shd w:val="clear" w:color="auto" w:fill="auto"/>
            <w:vAlign w:val="center"/>
          </w:tcPr>
          <w:p w14:paraId="49D70DB9" w14:textId="585F468A" w:rsidR="007575A9" w:rsidRPr="001559E2" w:rsidRDefault="0090680E" w:rsidP="006A687C">
            <w:pPr>
              <w:pStyle w:val="TableText"/>
              <w:keepNext/>
              <w:jc w:val="center"/>
            </w:pPr>
            <w:r w:rsidRPr="0090680E">
              <w:rPr>
                <w:b/>
                <w:bCs/>
              </w:rPr>
              <w:t>redacted</w:t>
            </w:r>
            <w:r w:rsidR="000F4B41">
              <w:rPr>
                <w:vertAlign w:val="superscript"/>
              </w:rPr>
              <w:t>2</w:t>
            </w:r>
          </w:p>
        </w:tc>
        <w:tc>
          <w:tcPr>
            <w:tcW w:w="944" w:type="dxa"/>
            <w:shd w:val="clear" w:color="auto" w:fill="auto"/>
            <w:vAlign w:val="center"/>
          </w:tcPr>
          <w:p w14:paraId="5A3641DB" w14:textId="5A2213CB" w:rsidR="007575A9" w:rsidRPr="001559E2" w:rsidRDefault="0090680E" w:rsidP="006A687C">
            <w:pPr>
              <w:pStyle w:val="TableText"/>
              <w:keepNext/>
              <w:jc w:val="center"/>
            </w:pPr>
            <w:r w:rsidRPr="0090680E">
              <w:rPr>
                <w:b/>
                <w:bCs/>
              </w:rPr>
              <w:t>redacted</w:t>
            </w:r>
            <w:r w:rsidR="000F4B41">
              <w:rPr>
                <w:vertAlign w:val="superscript"/>
              </w:rPr>
              <w:t>2</w:t>
            </w:r>
          </w:p>
        </w:tc>
      </w:tr>
      <w:tr w:rsidR="00C567E7" w:rsidRPr="00C530D6" w14:paraId="740D4CF2" w14:textId="77777777" w:rsidTr="0090680E">
        <w:tc>
          <w:tcPr>
            <w:tcW w:w="3158" w:type="dxa"/>
            <w:shd w:val="clear" w:color="auto" w:fill="auto"/>
          </w:tcPr>
          <w:p w14:paraId="25DEA961" w14:textId="77777777" w:rsidR="007575A9" w:rsidRPr="00C530D6" w:rsidRDefault="007575A9" w:rsidP="006A687C">
            <w:pPr>
              <w:pStyle w:val="TableText"/>
              <w:keepNext/>
            </w:pPr>
            <w:r w:rsidRPr="00C530D6">
              <w:t>Metastatic/ unresectable (</w:t>
            </w:r>
            <w:r w:rsidRPr="0090680E">
              <w:t>54.8</w:t>
            </w:r>
            <w:r w:rsidRPr="00C530D6">
              <w:t>%)</w:t>
            </w:r>
          </w:p>
        </w:tc>
        <w:tc>
          <w:tcPr>
            <w:tcW w:w="943" w:type="dxa"/>
            <w:shd w:val="clear" w:color="auto" w:fill="auto"/>
            <w:vAlign w:val="center"/>
          </w:tcPr>
          <w:p w14:paraId="6A14C587" w14:textId="685E2FA8" w:rsidR="007575A9" w:rsidRPr="001559E2" w:rsidRDefault="0090680E" w:rsidP="006A687C">
            <w:pPr>
              <w:pStyle w:val="TableText"/>
              <w:keepNext/>
              <w:jc w:val="center"/>
            </w:pPr>
            <w:r w:rsidRPr="0090680E">
              <w:rPr>
                <w:b/>
                <w:bCs/>
              </w:rPr>
              <w:t>redacted</w:t>
            </w:r>
            <w:r w:rsidR="000F4B41">
              <w:rPr>
                <w:vertAlign w:val="superscript"/>
              </w:rPr>
              <w:t>2</w:t>
            </w:r>
          </w:p>
        </w:tc>
        <w:tc>
          <w:tcPr>
            <w:tcW w:w="944" w:type="dxa"/>
            <w:shd w:val="clear" w:color="auto" w:fill="auto"/>
            <w:vAlign w:val="center"/>
          </w:tcPr>
          <w:p w14:paraId="39EABD56" w14:textId="005722DE" w:rsidR="007575A9" w:rsidRPr="001559E2" w:rsidRDefault="0090680E" w:rsidP="006A687C">
            <w:pPr>
              <w:pStyle w:val="TableText"/>
              <w:keepNext/>
              <w:jc w:val="center"/>
            </w:pPr>
            <w:r w:rsidRPr="0090680E">
              <w:rPr>
                <w:b/>
                <w:bCs/>
              </w:rPr>
              <w:t>redacted</w:t>
            </w:r>
            <w:r w:rsidR="000F4B41">
              <w:rPr>
                <w:vertAlign w:val="superscript"/>
              </w:rPr>
              <w:t>2</w:t>
            </w:r>
          </w:p>
        </w:tc>
        <w:tc>
          <w:tcPr>
            <w:tcW w:w="943" w:type="dxa"/>
            <w:shd w:val="clear" w:color="auto" w:fill="auto"/>
            <w:vAlign w:val="center"/>
          </w:tcPr>
          <w:p w14:paraId="7D6E584A" w14:textId="29E1422B" w:rsidR="007575A9" w:rsidRPr="001559E2" w:rsidRDefault="0090680E" w:rsidP="006A687C">
            <w:pPr>
              <w:pStyle w:val="TableText"/>
              <w:keepNext/>
              <w:jc w:val="center"/>
            </w:pPr>
            <w:r w:rsidRPr="0090680E">
              <w:rPr>
                <w:b/>
                <w:bCs/>
              </w:rPr>
              <w:t>redacted</w:t>
            </w:r>
            <w:r w:rsidR="000F4B41">
              <w:rPr>
                <w:vertAlign w:val="superscript"/>
              </w:rPr>
              <w:t>2</w:t>
            </w:r>
          </w:p>
        </w:tc>
        <w:tc>
          <w:tcPr>
            <w:tcW w:w="944" w:type="dxa"/>
            <w:shd w:val="clear" w:color="auto" w:fill="auto"/>
            <w:vAlign w:val="center"/>
          </w:tcPr>
          <w:p w14:paraId="0D3E1D1A" w14:textId="41B422D8" w:rsidR="007575A9" w:rsidRPr="001559E2" w:rsidRDefault="0090680E" w:rsidP="006A687C">
            <w:pPr>
              <w:pStyle w:val="TableText"/>
              <w:keepNext/>
              <w:jc w:val="center"/>
            </w:pPr>
            <w:r w:rsidRPr="0090680E">
              <w:rPr>
                <w:b/>
                <w:bCs/>
              </w:rPr>
              <w:t>redacted</w:t>
            </w:r>
            <w:r w:rsidR="000F4B41">
              <w:rPr>
                <w:vertAlign w:val="superscript"/>
              </w:rPr>
              <w:t>2</w:t>
            </w:r>
          </w:p>
        </w:tc>
        <w:tc>
          <w:tcPr>
            <w:tcW w:w="943" w:type="dxa"/>
            <w:shd w:val="clear" w:color="auto" w:fill="auto"/>
            <w:vAlign w:val="center"/>
          </w:tcPr>
          <w:p w14:paraId="22EF187B" w14:textId="36A99BAD" w:rsidR="007575A9" w:rsidRPr="001559E2" w:rsidRDefault="0090680E" w:rsidP="006A687C">
            <w:pPr>
              <w:pStyle w:val="TableText"/>
              <w:keepNext/>
              <w:jc w:val="center"/>
            </w:pPr>
            <w:r w:rsidRPr="0090680E">
              <w:rPr>
                <w:b/>
                <w:bCs/>
              </w:rPr>
              <w:t>redacted</w:t>
            </w:r>
            <w:r w:rsidR="009E1957">
              <w:rPr>
                <w:vertAlign w:val="superscript"/>
              </w:rPr>
              <w:t>2</w:t>
            </w:r>
          </w:p>
        </w:tc>
        <w:tc>
          <w:tcPr>
            <w:tcW w:w="944" w:type="dxa"/>
            <w:shd w:val="clear" w:color="auto" w:fill="auto"/>
            <w:vAlign w:val="center"/>
          </w:tcPr>
          <w:p w14:paraId="498AFCB3" w14:textId="23C60235" w:rsidR="007575A9" w:rsidRPr="001559E2" w:rsidRDefault="0090680E" w:rsidP="006A687C">
            <w:pPr>
              <w:pStyle w:val="TableText"/>
              <w:keepNext/>
              <w:jc w:val="center"/>
            </w:pPr>
            <w:r w:rsidRPr="0090680E">
              <w:rPr>
                <w:b/>
                <w:bCs/>
              </w:rPr>
              <w:t>redacted</w:t>
            </w:r>
            <w:r w:rsidR="009E1957">
              <w:rPr>
                <w:vertAlign w:val="superscript"/>
              </w:rPr>
              <w:t>2</w:t>
            </w:r>
          </w:p>
        </w:tc>
      </w:tr>
      <w:tr w:rsidR="00C567E7" w:rsidRPr="00C530D6" w14:paraId="3AC569DC" w14:textId="77777777" w:rsidTr="0090680E">
        <w:tc>
          <w:tcPr>
            <w:tcW w:w="3158" w:type="dxa"/>
            <w:shd w:val="clear" w:color="auto" w:fill="auto"/>
          </w:tcPr>
          <w:p w14:paraId="3D4DCBA9" w14:textId="77777777" w:rsidR="007575A9" w:rsidRPr="00C530D6" w:rsidRDefault="007575A9" w:rsidP="006A687C">
            <w:pPr>
              <w:pStyle w:val="TableText"/>
              <w:keepNext/>
              <w:ind w:left="318" w:hanging="318"/>
            </w:pPr>
            <w:r w:rsidRPr="00C530D6">
              <w:t xml:space="preserve">Recurrent population </w:t>
            </w:r>
            <w:r w:rsidRPr="00F335E3">
              <w:t>(</w:t>
            </w:r>
            <w:r w:rsidRPr="0090680E">
              <w:t>79.5</w:t>
            </w:r>
            <w:r w:rsidRPr="00C530D6">
              <w:t>%)</w:t>
            </w:r>
          </w:p>
        </w:tc>
        <w:tc>
          <w:tcPr>
            <w:tcW w:w="943" w:type="dxa"/>
            <w:shd w:val="clear" w:color="auto" w:fill="auto"/>
            <w:vAlign w:val="center"/>
          </w:tcPr>
          <w:p w14:paraId="6C8AF3E0" w14:textId="7E4F743B" w:rsidR="007575A9" w:rsidRPr="001559E2" w:rsidRDefault="0090680E" w:rsidP="006A687C">
            <w:pPr>
              <w:pStyle w:val="TableText"/>
              <w:keepNext/>
              <w:jc w:val="center"/>
            </w:pPr>
            <w:r w:rsidRPr="0090680E">
              <w:rPr>
                <w:b/>
                <w:bCs/>
              </w:rPr>
              <w:t>redacted</w:t>
            </w:r>
            <w:r w:rsidR="009E1957">
              <w:rPr>
                <w:vertAlign w:val="superscript"/>
              </w:rPr>
              <w:t>2</w:t>
            </w:r>
          </w:p>
        </w:tc>
        <w:tc>
          <w:tcPr>
            <w:tcW w:w="944" w:type="dxa"/>
            <w:shd w:val="clear" w:color="auto" w:fill="auto"/>
            <w:vAlign w:val="center"/>
          </w:tcPr>
          <w:p w14:paraId="29BABE47" w14:textId="492AF87D" w:rsidR="007575A9" w:rsidRPr="001559E2" w:rsidRDefault="0090680E" w:rsidP="006A687C">
            <w:pPr>
              <w:pStyle w:val="TableText"/>
              <w:keepNext/>
              <w:jc w:val="center"/>
            </w:pPr>
            <w:r w:rsidRPr="0090680E">
              <w:rPr>
                <w:b/>
                <w:bCs/>
              </w:rPr>
              <w:t>redacted</w:t>
            </w:r>
            <w:r w:rsidR="009E1957">
              <w:rPr>
                <w:vertAlign w:val="superscript"/>
              </w:rPr>
              <w:t>2</w:t>
            </w:r>
          </w:p>
        </w:tc>
        <w:tc>
          <w:tcPr>
            <w:tcW w:w="943" w:type="dxa"/>
            <w:shd w:val="clear" w:color="auto" w:fill="auto"/>
            <w:vAlign w:val="center"/>
          </w:tcPr>
          <w:p w14:paraId="7C2284D4" w14:textId="108BB366" w:rsidR="007575A9" w:rsidRPr="001559E2" w:rsidRDefault="0090680E" w:rsidP="006A687C">
            <w:pPr>
              <w:pStyle w:val="TableText"/>
              <w:keepNext/>
              <w:jc w:val="center"/>
            </w:pPr>
            <w:r w:rsidRPr="0090680E">
              <w:rPr>
                <w:b/>
                <w:bCs/>
              </w:rPr>
              <w:t>redacted</w:t>
            </w:r>
            <w:r w:rsidR="009E1957">
              <w:rPr>
                <w:vertAlign w:val="superscript"/>
              </w:rPr>
              <w:t>2</w:t>
            </w:r>
          </w:p>
        </w:tc>
        <w:tc>
          <w:tcPr>
            <w:tcW w:w="944" w:type="dxa"/>
            <w:shd w:val="clear" w:color="auto" w:fill="auto"/>
            <w:vAlign w:val="center"/>
          </w:tcPr>
          <w:p w14:paraId="534EAD74" w14:textId="5A6DF751" w:rsidR="007575A9" w:rsidRPr="001559E2" w:rsidRDefault="0090680E" w:rsidP="006A687C">
            <w:pPr>
              <w:pStyle w:val="TableText"/>
              <w:keepNext/>
              <w:jc w:val="center"/>
            </w:pPr>
            <w:r w:rsidRPr="0090680E">
              <w:rPr>
                <w:b/>
                <w:bCs/>
              </w:rPr>
              <w:t>redacted</w:t>
            </w:r>
            <w:r w:rsidR="009E1957">
              <w:rPr>
                <w:vertAlign w:val="superscript"/>
              </w:rPr>
              <w:t>2</w:t>
            </w:r>
          </w:p>
        </w:tc>
        <w:tc>
          <w:tcPr>
            <w:tcW w:w="943" w:type="dxa"/>
            <w:shd w:val="clear" w:color="auto" w:fill="auto"/>
            <w:vAlign w:val="center"/>
          </w:tcPr>
          <w:p w14:paraId="0C611F53" w14:textId="47B5BF28" w:rsidR="007575A9" w:rsidRPr="001559E2" w:rsidRDefault="0090680E" w:rsidP="006A687C">
            <w:pPr>
              <w:pStyle w:val="TableText"/>
              <w:keepNext/>
              <w:jc w:val="center"/>
            </w:pPr>
            <w:r w:rsidRPr="0090680E">
              <w:rPr>
                <w:b/>
                <w:bCs/>
              </w:rPr>
              <w:t>redacted</w:t>
            </w:r>
            <w:r w:rsidR="009E1957">
              <w:rPr>
                <w:vertAlign w:val="superscript"/>
              </w:rPr>
              <w:t>2</w:t>
            </w:r>
          </w:p>
        </w:tc>
        <w:tc>
          <w:tcPr>
            <w:tcW w:w="944" w:type="dxa"/>
            <w:shd w:val="clear" w:color="auto" w:fill="auto"/>
            <w:vAlign w:val="center"/>
          </w:tcPr>
          <w:p w14:paraId="04FB6103" w14:textId="22734E7B" w:rsidR="007575A9" w:rsidRPr="001559E2" w:rsidRDefault="0090680E" w:rsidP="006A687C">
            <w:pPr>
              <w:pStyle w:val="TableText"/>
              <w:keepNext/>
              <w:jc w:val="center"/>
            </w:pPr>
            <w:r w:rsidRPr="0090680E">
              <w:rPr>
                <w:b/>
                <w:bCs/>
              </w:rPr>
              <w:t>redacted</w:t>
            </w:r>
            <w:r w:rsidR="009E1957">
              <w:rPr>
                <w:vertAlign w:val="superscript"/>
              </w:rPr>
              <w:t>2</w:t>
            </w:r>
          </w:p>
        </w:tc>
      </w:tr>
      <w:tr w:rsidR="00C567E7" w:rsidRPr="00C530D6" w14:paraId="0F994FF6" w14:textId="77777777" w:rsidTr="0090680E">
        <w:tc>
          <w:tcPr>
            <w:tcW w:w="3158" w:type="dxa"/>
            <w:shd w:val="clear" w:color="auto" w:fill="auto"/>
          </w:tcPr>
          <w:p w14:paraId="427AF87C" w14:textId="77777777" w:rsidR="007575A9" w:rsidRPr="00C530D6" w:rsidRDefault="007575A9" w:rsidP="006A687C">
            <w:pPr>
              <w:pStyle w:val="TableText"/>
              <w:keepNext/>
              <w:ind w:left="176"/>
            </w:pPr>
            <w:r w:rsidRPr="00C530D6">
              <w:t xml:space="preserve">Proportion tested for </w:t>
            </w:r>
            <w:r w:rsidRPr="0066027B">
              <w:rPr>
                <w:i/>
                <w:iCs/>
              </w:rPr>
              <w:t>BRCA</w:t>
            </w:r>
          </w:p>
        </w:tc>
        <w:tc>
          <w:tcPr>
            <w:tcW w:w="943" w:type="dxa"/>
            <w:shd w:val="clear" w:color="auto" w:fill="auto"/>
          </w:tcPr>
          <w:p w14:paraId="029B858B" w14:textId="3C967C35" w:rsidR="007575A9" w:rsidRPr="001559E2" w:rsidRDefault="0090680E" w:rsidP="006A687C">
            <w:pPr>
              <w:pStyle w:val="TableText"/>
              <w:keepNext/>
              <w:jc w:val="center"/>
            </w:pPr>
            <w:r w:rsidRPr="0090680E">
              <w:rPr>
                <w:b/>
                <w:bCs/>
              </w:rPr>
              <w:t>redacted</w:t>
            </w:r>
            <w:r w:rsidR="007575A9" w:rsidRPr="001559E2">
              <w:t>%</w:t>
            </w:r>
          </w:p>
        </w:tc>
        <w:tc>
          <w:tcPr>
            <w:tcW w:w="944" w:type="dxa"/>
            <w:shd w:val="clear" w:color="auto" w:fill="auto"/>
          </w:tcPr>
          <w:p w14:paraId="235EC677" w14:textId="7427C794" w:rsidR="007575A9" w:rsidRPr="001559E2" w:rsidRDefault="0090680E" w:rsidP="006A687C">
            <w:pPr>
              <w:pStyle w:val="TableText"/>
              <w:keepNext/>
              <w:jc w:val="center"/>
              <w:rPr>
                <w:vertAlign w:val="superscript"/>
              </w:rPr>
            </w:pPr>
            <w:r w:rsidRPr="0090680E">
              <w:rPr>
                <w:b/>
                <w:bCs/>
              </w:rPr>
              <w:t>redacted</w:t>
            </w:r>
            <w:r w:rsidR="007575A9" w:rsidRPr="001559E2">
              <w:t>%</w:t>
            </w:r>
          </w:p>
        </w:tc>
        <w:tc>
          <w:tcPr>
            <w:tcW w:w="943" w:type="dxa"/>
            <w:shd w:val="clear" w:color="auto" w:fill="auto"/>
          </w:tcPr>
          <w:p w14:paraId="05F09A14" w14:textId="35208029" w:rsidR="007575A9" w:rsidRPr="001559E2" w:rsidRDefault="0090680E" w:rsidP="006A687C">
            <w:pPr>
              <w:pStyle w:val="TableText"/>
              <w:keepNext/>
              <w:jc w:val="center"/>
            </w:pPr>
            <w:r w:rsidRPr="0090680E">
              <w:rPr>
                <w:b/>
                <w:bCs/>
              </w:rPr>
              <w:t>redacted</w:t>
            </w:r>
            <w:r w:rsidR="007575A9" w:rsidRPr="001559E2">
              <w:t>%</w:t>
            </w:r>
          </w:p>
        </w:tc>
        <w:tc>
          <w:tcPr>
            <w:tcW w:w="944" w:type="dxa"/>
            <w:shd w:val="clear" w:color="auto" w:fill="auto"/>
          </w:tcPr>
          <w:p w14:paraId="7A53A962" w14:textId="3AE1876D" w:rsidR="007575A9" w:rsidRPr="001559E2" w:rsidRDefault="0090680E" w:rsidP="006A687C">
            <w:pPr>
              <w:pStyle w:val="TableText"/>
              <w:keepNext/>
              <w:jc w:val="center"/>
            </w:pPr>
            <w:r w:rsidRPr="0090680E">
              <w:rPr>
                <w:b/>
                <w:bCs/>
              </w:rPr>
              <w:t>redacted</w:t>
            </w:r>
            <w:r w:rsidR="007575A9" w:rsidRPr="001559E2">
              <w:t>%</w:t>
            </w:r>
          </w:p>
        </w:tc>
        <w:tc>
          <w:tcPr>
            <w:tcW w:w="943" w:type="dxa"/>
            <w:shd w:val="clear" w:color="auto" w:fill="auto"/>
          </w:tcPr>
          <w:p w14:paraId="769616AD" w14:textId="791534F7" w:rsidR="007575A9" w:rsidRPr="001559E2" w:rsidRDefault="0090680E" w:rsidP="006A687C">
            <w:pPr>
              <w:pStyle w:val="TableText"/>
              <w:keepNext/>
              <w:jc w:val="center"/>
              <w:rPr>
                <w:vertAlign w:val="superscript"/>
              </w:rPr>
            </w:pPr>
            <w:r w:rsidRPr="0090680E">
              <w:rPr>
                <w:b/>
                <w:bCs/>
              </w:rPr>
              <w:t>redacted</w:t>
            </w:r>
            <w:r w:rsidR="007575A9" w:rsidRPr="001559E2">
              <w:t>%</w:t>
            </w:r>
          </w:p>
        </w:tc>
        <w:tc>
          <w:tcPr>
            <w:tcW w:w="944" w:type="dxa"/>
            <w:shd w:val="clear" w:color="auto" w:fill="auto"/>
          </w:tcPr>
          <w:p w14:paraId="76F0D146" w14:textId="3D9DD5CD" w:rsidR="007575A9" w:rsidRPr="001559E2" w:rsidRDefault="0090680E" w:rsidP="006A687C">
            <w:pPr>
              <w:pStyle w:val="TableText"/>
              <w:keepNext/>
              <w:jc w:val="center"/>
            </w:pPr>
            <w:r w:rsidRPr="0090680E">
              <w:rPr>
                <w:b/>
                <w:bCs/>
              </w:rPr>
              <w:t>redacted</w:t>
            </w:r>
            <w:r w:rsidR="007575A9" w:rsidRPr="001559E2">
              <w:t>%</w:t>
            </w:r>
          </w:p>
        </w:tc>
      </w:tr>
      <w:tr w:rsidR="00C567E7" w:rsidRPr="00C530D6" w14:paraId="49B1A147" w14:textId="77777777" w:rsidTr="0090680E">
        <w:tc>
          <w:tcPr>
            <w:tcW w:w="3158" w:type="dxa"/>
            <w:shd w:val="clear" w:color="auto" w:fill="auto"/>
          </w:tcPr>
          <w:p w14:paraId="079D48A4" w14:textId="77777777" w:rsidR="007575A9" w:rsidRPr="00C530D6" w:rsidRDefault="007575A9" w:rsidP="006A687C">
            <w:pPr>
              <w:pStyle w:val="TableText"/>
              <w:keepNext/>
              <w:ind w:left="176"/>
            </w:pPr>
            <w:r w:rsidRPr="00C530D6">
              <w:t xml:space="preserve">Recurrent population tested for </w:t>
            </w:r>
            <w:r w:rsidRPr="0066027B">
              <w:rPr>
                <w:i/>
                <w:iCs/>
              </w:rPr>
              <w:t>BRCA</w:t>
            </w:r>
          </w:p>
        </w:tc>
        <w:tc>
          <w:tcPr>
            <w:tcW w:w="943" w:type="dxa"/>
            <w:shd w:val="clear" w:color="auto" w:fill="auto"/>
            <w:vAlign w:val="center"/>
          </w:tcPr>
          <w:p w14:paraId="37F87EDD" w14:textId="6B1FECDE" w:rsidR="007575A9" w:rsidRPr="001559E2" w:rsidRDefault="0090680E" w:rsidP="006A687C">
            <w:pPr>
              <w:pStyle w:val="TableText"/>
              <w:keepNext/>
              <w:jc w:val="center"/>
            </w:pPr>
            <w:r w:rsidRPr="0090680E">
              <w:rPr>
                <w:b/>
                <w:bCs/>
              </w:rPr>
              <w:t>redacted</w:t>
            </w:r>
            <w:r w:rsidR="00D47121">
              <w:rPr>
                <w:vertAlign w:val="superscript"/>
              </w:rPr>
              <w:t>2</w:t>
            </w:r>
          </w:p>
        </w:tc>
        <w:tc>
          <w:tcPr>
            <w:tcW w:w="944" w:type="dxa"/>
            <w:shd w:val="clear" w:color="auto" w:fill="auto"/>
            <w:vAlign w:val="center"/>
          </w:tcPr>
          <w:p w14:paraId="5327C278" w14:textId="42CEE0DB" w:rsidR="007575A9" w:rsidRPr="001559E2" w:rsidRDefault="0090680E" w:rsidP="006A687C">
            <w:pPr>
              <w:pStyle w:val="TableText"/>
              <w:keepNext/>
              <w:jc w:val="center"/>
            </w:pPr>
            <w:r w:rsidRPr="0090680E">
              <w:rPr>
                <w:b/>
                <w:bCs/>
              </w:rPr>
              <w:t>redacted</w:t>
            </w:r>
            <w:r w:rsidR="00D47121">
              <w:rPr>
                <w:vertAlign w:val="superscript"/>
              </w:rPr>
              <w:t>2</w:t>
            </w:r>
            <w:r w:rsidR="00857597">
              <w:rPr>
                <w:vertAlign w:val="superscript"/>
              </w:rPr>
              <w:t>,</w:t>
            </w:r>
            <w:r w:rsidR="007575A9" w:rsidRPr="001559E2">
              <w:rPr>
                <w:vertAlign w:val="superscript"/>
              </w:rPr>
              <w:t>b</w:t>
            </w:r>
          </w:p>
        </w:tc>
        <w:tc>
          <w:tcPr>
            <w:tcW w:w="943" w:type="dxa"/>
            <w:shd w:val="clear" w:color="auto" w:fill="auto"/>
            <w:vAlign w:val="center"/>
          </w:tcPr>
          <w:p w14:paraId="375C5BCC" w14:textId="15951418"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6D3A71A8" w14:textId="13308ABA"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76271DFC" w14:textId="4846C947" w:rsidR="007575A9" w:rsidRPr="001559E2" w:rsidRDefault="0090680E" w:rsidP="006A687C">
            <w:pPr>
              <w:pStyle w:val="TableText"/>
              <w:keepNext/>
              <w:jc w:val="center"/>
            </w:pPr>
            <w:r w:rsidRPr="0090680E">
              <w:rPr>
                <w:b/>
                <w:bCs/>
              </w:rPr>
              <w:t>redacted</w:t>
            </w:r>
            <w:r w:rsidR="00857597">
              <w:rPr>
                <w:vertAlign w:val="superscript"/>
              </w:rPr>
              <w:t>2,</w:t>
            </w:r>
            <w:r w:rsidR="007575A9" w:rsidRPr="001559E2">
              <w:rPr>
                <w:vertAlign w:val="superscript"/>
              </w:rPr>
              <w:t>c</w:t>
            </w:r>
          </w:p>
        </w:tc>
        <w:tc>
          <w:tcPr>
            <w:tcW w:w="944" w:type="dxa"/>
            <w:shd w:val="clear" w:color="auto" w:fill="auto"/>
            <w:vAlign w:val="center"/>
          </w:tcPr>
          <w:p w14:paraId="55B63239" w14:textId="5EA47C1D" w:rsidR="007575A9" w:rsidRPr="001559E2" w:rsidRDefault="0090680E" w:rsidP="006A687C">
            <w:pPr>
              <w:pStyle w:val="TableText"/>
              <w:keepNext/>
              <w:jc w:val="center"/>
            </w:pPr>
            <w:r w:rsidRPr="0090680E">
              <w:rPr>
                <w:b/>
                <w:bCs/>
              </w:rPr>
              <w:t>redacted</w:t>
            </w:r>
            <w:r w:rsidR="00857597">
              <w:rPr>
                <w:vertAlign w:val="superscript"/>
              </w:rPr>
              <w:t>2</w:t>
            </w:r>
          </w:p>
        </w:tc>
      </w:tr>
      <w:tr w:rsidR="00C567E7" w:rsidRPr="00C530D6" w14:paraId="645FF3ED" w14:textId="77777777" w:rsidTr="0090680E">
        <w:tc>
          <w:tcPr>
            <w:tcW w:w="3158" w:type="dxa"/>
            <w:shd w:val="clear" w:color="auto" w:fill="auto"/>
          </w:tcPr>
          <w:p w14:paraId="3E850233" w14:textId="77777777" w:rsidR="007575A9" w:rsidRPr="00C530D6" w:rsidRDefault="007575A9" w:rsidP="006A687C">
            <w:pPr>
              <w:pStyle w:val="TableText"/>
              <w:keepNext/>
              <w:ind w:left="176"/>
            </w:pPr>
            <w:r w:rsidRPr="00C530D6">
              <w:t xml:space="preserve">Recurrent </w:t>
            </w:r>
            <w:r w:rsidRPr="11FAFD31">
              <w:rPr>
                <w:i/>
                <w:iCs/>
              </w:rPr>
              <w:t>BRCA</w:t>
            </w:r>
            <w:r w:rsidRPr="00C530D6">
              <w:t>m (</w:t>
            </w:r>
            <w:r w:rsidRPr="0090680E">
              <w:t>13.25</w:t>
            </w:r>
            <w:r w:rsidRPr="00C530D6">
              <w:t>%)</w:t>
            </w:r>
          </w:p>
        </w:tc>
        <w:tc>
          <w:tcPr>
            <w:tcW w:w="943" w:type="dxa"/>
            <w:shd w:val="clear" w:color="auto" w:fill="auto"/>
            <w:vAlign w:val="center"/>
          </w:tcPr>
          <w:p w14:paraId="0FB23D77" w14:textId="673A3DC6" w:rsidR="007575A9" w:rsidRPr="001559E2" w:rsidRDefault="0090680E" w:rsidP="006A687C">
            <w:pPr>
              <w:pStyle w:val="TableText"/>
              <w:keepNext/>
              <w:jc w:val="center"/>
            </w:pPr>
            <w:r w:rsidRPr="0090680E">
              <w:rPr>
                <w:b/>
                <w:bCs/>
              </w:rPr>
              <w:t>redacted</w:t>
            </w:r>
            <w:r w:rsidR="00857597">
              <w:rPr>
                <w:vertAlign w:val="superscript"/>
              </w:rPr>
              <w:t>3</w:t>
            </w:r>
          </w:p>
        </w:tc>
        <w:tc>
          <w:tcPr>
            <w:tcW w:w="944" w:type="dxa"/>
            <w:shd w:val="clear" w:color="auto" w:fill="auto"/>
            <w:vAlign w:val="center"/>
          </w:tcPr>
          <w:p w14:paraId="43ECB707" w14:textId="4060BB95" w:rsidR="007575A9" w:rsidRPr="001559E2" w:rsidRDefault="0090680E" w:rsidP="006A687C">
            <w:pPr>
              <w:pStyle w:val="TableText"/>
              <w:keepNext/>
              <w:jc w:val="center"/>
            </w:pPr>
            <w:r w:rsidRPr="0090680E">
              <w:rPr>
                <w:b/>
                <w:bCs/>
              </w:rPr>
              <w:t>redacted</w:t>
            </w:r>
            <w:r w:rsidR="00857597">
              <w:rPr>
                <w:vertAlign w:val="superscript"/>
              </w:rPr>
              <w:t>3</w:t>
            </w:r>
          </w:p>
        </w:tc>
        <w:tc>
          <w:tcPr>
            <w:tcW w:w="943" w:type="dxa"/>
            <w:shd w:val="clear" w:color="auto" w:fill="auto"/>
            <w:vAlign w:val="center"/>
          </w:tcPr>
          <w:p w14:paraId="6B36553E" w14:textId="5A09171F" w:rsidR="007575A9" w:rsidRPr="001559E2" w:rsidRDefault="0090680E" w:rsidP="006A687C">
            <w:pPr>
              <w:pStyle w:val="TableText"/>
              <w:keepNext/>
              <w:jc w:val="center"/>
            </w:pPr>
            <w:r w:rsidRPr="0090680E">
              <w:rPr>
                <w:b/>
                <w:bCs/>
              </w:rPr>
              <w:t>redacted</w:t>
            </w:r>
            <w:r w:rsidR="00857597">
              <w:rPr>
                <w:vertAlign w:val="superscript"/>
              </w:rPr>
              <w:t>3</w:t>
            </w:r>
          </w:p>
        </w:tc>
        <w:tc>
          <w:tcPr>
            <w:tcW w:w="944" w:type="dxa"/>
            <w:shd w:val="clear" w:color="auto" w:fill="auto"/>
            <w:vAlign w:val="center"/>
          </w:tcPr>
          <w:p w14:paraId="1E71133A" w14:textId="29C8F1DB" w:rsidR="007575A9" w:rsidRPr="001559E2" w:rsidRDefault="0090680E" w:rsidP="006A687C">
            <w:pPr>
              <w:pStyle w:val="TableText"/>
              <w:keepNext/>
              <w:jc w:val="center"/>
            </w:pPr>
            <w:r w:rsidRPr="0090680E">
              <w:rPr>
                <w:b/>
                <w:bCs/>
              </w:rPr>
              <w:t>redacted</w:t>
            </w:r>
            <w:r w:rsidR="00857597">
              <w:rPr>
                <w:vertAlign w:val="superscript"/>
              </w:rPr>
              <w:t>3</w:t>
            </w:r>
          </w:p>
        </w:tc>
        <w:tc>
          <w:tcPr>
            <w:tcW w:w="943" w:type="dxa"/>
            <w:shd w:val="clear" w:color="auto" w:fill="auto"/>
            <w:vAlign w:val="center"/>
          </w:tcPr>
          <w:p w14:paraId="72FB5A87" w14:textId="1CF32020" w:rsidR="007575A9" w:rsidRPr="001559E2" w:rsidRDefault="0090680E" w:rsidP="006A687C">
            <w:pPr>
              <w:pStyle w:val="TableText"/>
              <w:keepNext/>
              <w:jc w:val="center"/>
            </w:pPr>
            <w:r w:rsidRPr="0090680E">
              <w:rPr>
                <w:b/>
                <w:bCs/>
              </w:rPr>
              <w:t>redacted</w:t>
            </w:r>
            <w:r w:rsidR="00857597">
              <w:rPr>
                <w:vertAlign w:val="superscript"/>
              </w:rPr>
              <w:t>3</w:t>
            </w:r>
          </w:p>
        </w:tc>
        <w:tc>
          <w:tcPr>
            <w:tcW w:w="944" w:type="dxa"/>
            <w:shd w:val="clear" w:color="auto" w:fill="auto"/>
            <w:vAlign w:val="center"/>
          </w:tcPr>
          <w:p w14:paraId="2FCCF1AB" w14:textId="36241CA1" w:rsidR="007575A9" w:rsidRPr="001559E2" w:rsidRDefault="0090680E" w:rsidP="006A687C">
            <w:pPr>
              <w:pStyle w:val="TableText"/>
              <w:keepNext/>
              <w:jc w:val="center"/>
            </w:pPr>
            <w:r w:rsidRPr="0090680E">
              <w:rPr>
                <w:b/>
                <w:bCs/>
              </w:rPr>
              <w:t>redacted</w:t>
            </w:r>
            <w:r w:rsidR="00857597">
              <w:rPr>
                <w:vertAlign w:val="superscript"/>
              </w:rPr>
              <w:t>3</w:t>
            </w:r>
          </w:p>
        </w:tc>
      </w:tr>
      <w:tr w:rsidR="00C567E7" w:rsidRPr="00C530D6" w14:paraId="1DA8B47D" w14:textId="77777777" w:rsidTr="0090680E">
        <w:tc>
          <w:tcPr>
            <w:tcW w:w="3158" w:type="dxa"/>
            <w:shd w:val="clear" w:color="auto" w:fill="auto"/>
          </w:tcPr>
          <w:p w14:paraId="501DBDE3" w14:textId="1D48E2CE" w:rsidR="007575A9" w:rsidRPr="00C530D6" w:rsidRDefault="007575A9" w:rsidP="006A687C">
            <w:pPr>
              <w:pStyle w:val="TableText"/>
              <w:keepNext/>
            </w:pPr>
            <w:r w:rsidRPr="11FAFD31">
              <w:rPr>
                <w:i/>
                <w:iCs/>
              </w:rPr>
              <w:t xml:space="preserve">De </w:t>
            </w:r>
            <w:r w:rsidR="72B01DCA" w:rsidRPr="11FAFD31">
              <w:rPr>
                <w:i/>
                <w:iCs/>
              </w:rPr>
              <w:t>n</w:t>
            </w:r>
            <w:r w:rsidRPr="11FAFD31">
              <w:rPr>
                <w:i/>
                <w:iCs/>
              </w:rPr>
              <w:t>ovo</w:t>
            </w:r>
            <w:r w:rsidRPr="00C530D6">
              <w:t xml:space="preserve"> </w:t>
            </w:r>
            <w:r w:rsidR="72B01DCA">
              <w:t>m</w:t>
            </w:r>
            <w:r w:rsidRPr="00C530D6">
              <w:t>etastatic breast cancer (</w:t>
            </w:r>
            <w:r w:rsidRPr="0090680E">
              <w:t>20.5</w:t>
            </w:r>
            <w:r w:rsidRPr="00C530D6">
              <w:t>%)</w:t>
            </w:r>
          </w:p>
        </w:tc>
        <w:tc>
          <w:tcPr>
            <w:tcW w:w="943" w:type="dxa"/>
            <w:shd w:val="clear" w:color="auto" w:fill="auto"/>
            <w:vAlign w:val="center"/>
          </w:tcPr>
          <w:p w14:paraId="200A91CC" w14:textId="226B1E63" w:rsidR="007575A9" w:rsidRPr="001559E2" w:rsidRDefault="0090680E" w:rsidP="006A687C">
            <w:pPr>
              <w:pStyle w:val="TableText"/>
              <w:keepNext/>
              <w:jc w:val="center"/>
            </w:pPr>
            <w:r w:rsidRPr="0090680E">
              <w:rPr>
                <w:b/>
                <w:bCs/>
              </w:rPr>
              <w:t>redacted</w:t>
            </w:r>
            <w:r w:rsidR="00857597">
              <w:rPr>
                <w:vertAlign w:val="superscript"/>
              </w:rPr>
              <w:t>3</w:t>
            </w:r>
          </w:p>
        </w:tc>
        <w:tc>
          <w:tcPr>
            <w:tcW w:w="944" w:type="dxa"/>
            <w:shd w:val="clear" w:color="auto" w:fill="auto"/>
            <w:vAlign w:val="center"/>
          </w:tcPr>
          <w:p w14:paraId="5087FAE7" w14:textId="027983E6" w:rsidR="007575A9" w:rsidRPr="001559E2" w:rsidRDefault="0090680E" w:rsidP="006A687C">
            <w:pPr>
              <w:pStyle w:val="TableText"/>
              <w:keepNext/>
              <w:jc w:val="center"/>
            </w:pPr>
            <w:r w:rsidRPr="0090680E">
              <w:rPr>
                <w:b/>
                <w:bCs/>
              </w:rPr>
              <w:t>redacted</w:t>
            </w:r>
            <w:r w:rsidR="00857597">
              <w:rPr>
                <w:vertAlign w:val="superscript"/>
              </w:rPr>
              <w:t>3</w:t>
            </w:r>
          </w:p>
        </w:tc>
        <w:tc>
          <w:tcPr>
            <w:tcW w:w="943" w:type="dxa"/>
            <w:shd w:val="clear" w:color="auto" w:fill="auto"/>
            <w:vAlign w:val="center"/>
          </w:tcPr>
          <w:p w14:paraId="0BB147D0" w14:textId="0AC5D06C" w:rsidR="007575A9" w:rsidRPr="001559E2" w:rsidRDefault="0090680E" w:rsidP="006A687C">
            <w:pPr>
              <w:pStyle w:val="TableText"/>
              <w:keepNext/>
              <w:jc w:val="center"/>
            </w:pPr>
            <w:r w:rsidRPr="0090680E">
              <w:rPr>
                <w:b/>
                <w:bCs/>
              </w:rPr>
              <w:t>redacted</w:t>
            </w:r>
            <w:r w:rsidR="00857597">
              <w:rPr>
                <w:vertAlign w:val="superscript"/>
              </w:rPr>
              <w:t>3</w:t>
            </w:r>
          </w:p>
        </w:tc>
        <w:tc>
          <w:tcPr>
            <w:tcW w:w="944" w:type="dxa"/>
            <w:shd w:val="clear" w:color="auto" w:fill="auto"/>
            <w:vAlign w:val="center"/>
          </w:tcPr>
          <w:p w14:paraId="2B1CAC83" w14:textId="61D965C0" w:rsidR="007575A9" w:rsidRPr="001559E2" w:rsidRDefault="0090680E" w:rsidP="006A687C">
            <w:pPr>
              <w:pStyle w:val="TableText"/>
              <w:keepNext/>
              <w:jc w:val="center"/>
            </w:pPr>
            <w:r w:rsidRPr="0090680E">
              <w:rPr>
                <w:b/>
                <w:bCs/>
              </w:rPr>
              <w:t>redacted</w:t>
            </w:r>
            <w:r w:rsidR="00857597">
              <w:rPr>
                <w:vertAlign w:val="superscript"/>
              </w:rPr>
              <w:t>3</w:t>
            </w:r>
          </w:p>
        </w:tc>
        <w:tc>
          <w:tcPr>
            <w:tcW w:w="943" w:type="dxa"/>
            <w:shd w:val="clear" w:color="auto" w:fill="auto"/>
            <w:vAlign w:val="center"/>
          </w:tcPr>
          <w:p w14:paraId="0612EF0A" w14:textId="6C214F27" w:rsidR="007575A9" w:rsidRPr="001559E2" w:rsidRDefault="0090680E" w:rsidP="006A687C">
            <w:pPr>
              <w:pStyle w:val="TableText"/>
              <w:keepNext/>
              <w:jc w:val="center"/>
            </w:pPr>
            <w:r w:rsidRPr="0090680E">
              <w:rPr>
                <w:b/>
                <w:bCs/>
              </w:rPr>
              <w:t>redacted</w:t>
            </w:r>
            <w:r w:rsidR="00857597">
              <w:rPr>
                <w:vertAlign w:val="superscript"/>
              </w:rPr>
              <w:t>3</w:t>
            </w:r>
          </w:p>
        </w:tc>
        <w:tc>
          <w:tcPr>
            <w:tcW w:w="944" w:type="dxa"/>
            <w:shd w:val="clear" w:color="auto" w:fill="auto"/>
            <w:vAlign w:val="center"/>
          </w:tcPr>
          <w:p w14:paraId="1F69171F" w14:textId="54E688F9" w:rsidR="007575A9" w:rsidRPr="001559E2" w:rsidRDefault="0090680E" w:rsidP="006A687C">
            <w:pPr>
              <w:pStyle w:val="TableText"/>
              <w:keepNext/>
              <w:jc w:val="center"/>
            </w:pPr>
            <w:r w:rsidRPr="0090680E">
              <w:rPr>
                <w:b/>
                <w:bCs/>
              </w:rPr>
              <w:t>redacted</w:t>
            </w:r>
            <w:r w:rsidR="00857597">
              <w:rPr>
                <w:vertAlign w:val="superscript"/>
              </w:rPr>
              <w:t>3</w:t>
            </w:r>
          </w:p>
        </w:tc>
      </w:tr>
      <w:tr w:rsidR="00C567E7" w:rsidRPr="00C530D6" w14:paraId="08878340" w14:textId="77777777" w:rsidTr="0090680E">
        <w:tc>
          <w:tcPr>
            <w:tcW w:w="3158" w:type="dxa"/>
            <w:shd w:val="clear" w:color="auto" w:fill="auto"/>
          </w:tcPr>
          <w:p w14:paraId="6C20EA09" w14:textId="77777777" w:rsidR="007575A9" w:rsidRPr="00C530D6" w:rsidRDefault="007575A9" w:rsidP="006A687C">
            <w:pPr>
              <w:pStyle w:val="TableText"/>
              <w:keepNext/>
              <w:ind w:left="176"/>
            </w:pPr>
            <w:r w:rsidRPr="00C530D6">
              <w:t xml:space="preserve">Proportion tested for </w:t>
            </w:r>
            <w:r w:rsidRPr="0066027B">
              <w:rPr>
                <w:i/>
                <w:iCs/>
              </w:rPr>
              <w:t>BRCA</w:t>
            </w:r>
          </w:p>
        </w:tc>
        <w:tc>
          <w:tcPr>
            <w:tcW w:w="943" w:type="dxa"/>
            <w:shd w:val="clear" w:color="auto" w:fill="auto"/>
          </w:tcPr>
          <w:p w14:paraId="45BF582D" w14:textId="2B219166" w:rsidR="007575A9" w:rsidRPr="001559E2" w:rsidRDefault="0090680E" w:rsidP="006A687C">
            <w:pPr>
              <w:pStyle w:val="TableText"/>
              <w:keepNext/>
              <w:jc w:val="center"/>
              <w:rPr>
                <w:vertAlign w:val="superscript"/>
              </w:rPr>
            </w:pPr>
            <w:r w:rsidRPr="0090680E">
              <w:rPr>
                <w:b/>
                <w:bCs/>
              </w:rPr>
              <w:t>redacted</w:t>
            </w:r>
            <w:r w:rsidR="007575A9" w:rsidRPr="001559E2">
              <w:t>%</w:t>
            </w:r>
          </w:p>
        </w:tc>
        <w:tc>
          <w:tcPr>
            <w:tcW w:w="944" w:type="dxa"/>
            <w:shd w:val="clear" w:color="auto" w:fill="auto"/>
          </w:tcPr>
          <w:p w14:paraId="58A68865" w14:textId="41D3C0D5" w:rsidR="007575A9" w:rsidRPr="001559E2" w:rsidRDefault="0090680E" w:rsidP="006A687C">
            <w:pPr>
              <w:pStyle w:val="TableText"/>
              <w:keepNext/>
              <w:jc w:val="center"/>
            </w:pPr>
            <w:r w:rsidRPr="0090680E">
              <w:rPr>
                <w:b/>
                <w:bCs/>
              </w:rPr>
              <w:t>redacted</w:t>
            </w:r>
            <w:r w:rsidR="007575A9" w:rsidRPr="001559E2">
              <w:t>%</w:t>
            </w:r>
          </w:p>
        </w:tc>
        <w:tc>
          <w:tcPr>
            <w:tcW w:w="943" w:type="dxa"/>
            <w:shd w:val="clear" w:color="auto" w:fill="auto"/>
          </w:tcPr>
          <w:p w14:paraId="07CB6090" w14:textId="73998FDB" w:rsidR="007575A9" w:rsidRPr="001559E2" w:rsidRDefault="0090680E" w:rsidP="006A687C">
            <w:pPr>
              <w:pStyle w:val="TableText"/>
              <w:keepNext/>
              <w:jc w:val="center"/>
            </w:pPr>
            <w:r w:rsidRPr="0090680E">
              <w:rPr>
                <w:b/>
                <w:bCs/>
              </w:rPr>
              <w:t>redacted</w:t>
            </w:r>
            <w:r w:rsidR="007575A9" w:rsidRPr="001559E2">
              <w:t>%</w:t>
            </w:r>
          </w:p>
        </w:tc>
        <w:tc>
          <w:tcPr>
            <w:tcW w:w="944" w:type="dxa"/>
            <w:shd w:val="clear" w:color="auto" w:fill="auto"/>
          </w:tcPr>
          <w:p w14:paraId="20442DEF" w14:textId="6530B4A6" w:rsidR="007575A9" w:rsidRPr="001559E2" w:rsidRDefault="0090680E" w:rsidP="006A687C">
            <w:pPr>
              <w:pStyle w:val="TableText"/>
              <w:keepNext/>
              <w:jc w:val="center"/>
            </w:pPr>
            <w:r w:rsidRPr="0090680E">
              <w:rPr>
                <w:b/>
                <w:bCs/>
              </w:rPr>
              <w:t>redacted</w:t>
            </w:r>
            <w:r w:rsidR="007575A9" w:rsidRPr="001559E2">
              <w:t>%</w:t>
            </w:r>
          </w:p>
        </w:tc>
        <w:tc>
          <w:tcPr>
            <w:tcW w:w="943" w:type="dxa"/>
            <w:shd w:val="clear" w:color="auto" w:fill="auto"/>
          </w:tcPr>
          <w:p w14:paraId="72A2F772" w14:textId="188F3A52" w:rsidR="007575A9" w:rsidRPr="001559E2" w:rsidRDefault="0090680E" w:rsidP="006A687C">
            <w:pPr>
              <w:pStyle w:val="TableText"/>
              <w:keepNext/>
              <w:jc w:val="center"/>
            </w:pPr>
            <w:r w:rsidRPr="0090680E">
              <w:rPr>
                <w:b/>
                <w:bCs/>
              </w:rPr>
              <w:t>redacted</w:t>
            </w:r>
            <w:r w:rsidR="007575A9" w:rsidRPr="001559E2">
              <w:t>%</w:t>
            </w:r>
          </w:p>
        </w:tc>
        <w:tc>
          <w:tcPr>
            <w:tcW w:w="944" w:type="dxa"/>
            <w:shd w:val="clear" w:color="auto" w:fill="auto"/>
          </w:tcPr>
          <w:p w14:paraId="70FBD782" w14:textId="49BD127D" w:rsidR="007575A9" w:rsidRPr="001559E2" w:rsidRDefault="0090680E" w:rsidP="006A687C">
            <w:pPr>
              <w:pStyle w:val="TableText"/>
              <w:keepNext/>
              <w:jc w:val="center"/>
            </w:pPr>
            <w:r w:rsidRPr="0090680E">
              <w:rPr>
                <w:b/>
                <w:bCs/>
              </w:rPr>
              <w:t>redacted</w:t>
            </w:r>
            <w:r w:rsidR="007575A9" w:rsidRPr="001559E2">
              <w:t>%</w:t>
            </w:r>
          </w:p>
        </w:tc>
      </w:tr>
      <w:tr w:rsidR="00C567E7" w:rsidRPr="00C530D6" w14:paraId="3EA51049" w14:textId="77777777" w:rsidTr="0090680E">
        <w:tc>
          <w:tcPr>
            <w:tcW w:w="3158" w:type="dxa"/>
            <w:shd w:val="clear" w:color="auto" w:fill="auto"/>
          </w:tcPr>
          <w:p w14:paraId="51C2ECD0" w14:textId="77777777" w:rsidR="007575A9" w:rsidRPr="00C530D6" w:rsidRDefault="007575A9" w:rsidP="006A687C">
            <w:pPr>
              <w:pStyle w:val="TableText"/>
              <w:keepNext/>
              <w:ind w:left="176"/>
            </w:pPr>
            <w:r w:rsidRPr="0066027B">
              <w:rPr>
                <w:i/>
                <w:iCs/>
              </w:rPr>
              <w:t>De novo</w:t>
            </w:r>
            <w:r w:rsidRPr="00C530D6">
              <w:t xml:space="preserve"> population tested for </w:t>
            </w:r>
            <w:r w:rsidRPr="0066027B">
              <w:rPr>
                <w:i/>
                <w:iCs/>
              </w:rPr>
              <w:t>BRCA</w:t>
            </w:r>
          </w:p>
        </w:tc>
        <w:tc>
          <w:tcPr>
            <w:tcW w:w="943" w:type="dxa"/>
            <w:shd w:val="clear" w:color="auto" w:fill="auto"/>
            <w:vAlign w:val="center"/>
          </w:tcPr>
          <w:p w14:paraId="3E03DB1A" w14:textId="757B0FD0" w:rsidR="007575A9" w:rsidRPr="001559E2" w:rsidRDefault="0090680E" w:rsidP="006A687C">
            <w:pPr>
              <w:pStyle w:val="TableText"/>
              <w:keepNext/>
              <w:jc w:val="center"/>
            </w:pPr>
            <w:r w:rsidRPr="0090680E">
              <w:rPr>
                <w:b/>
                <w:bCs/>
              </w:rPr>
              <w:t>redacted</w:t>
            </w:r>
            <w:r w:rsidR="00857597">
              <w:rPr>
                <w:vertAlign w:val="superscript"/>
              </w:rPr>
              <w:t>3,</w:t>
            </w:r>
            <w:r w:rsidR="007575A9" w:rsidRPr="001559E2">
              <w:rPr>
                <w:vertAlign w:val="superscript"/>
              </w:rPr>
              <w:t>a</w:t>
            </w:r>
          </w:p>
        </w:tc>
        <w:tc>
          <w:tcPr>
            <w:tcW w:w="944" w:type="dxa"/>
            <w:shd w:val="clear" w:color="auto" w:fill="auto"/>
            <w:vAlign w:val="center"/>
          </w:tcPr>
          <w:p w14:paraId="34F951BB" w14:textId="0D1A8691" w:rsidR="007575A9" w:rsidRPr="001559E2" w:rsidRDefault="0090680E" w:rsidP="006A687C">
            <w:pPr>
              <w:pStyle w:val="TableText"/>
              <w:keepNext/>
              <w:jc w:val="center"/>
            </w:pPr>
            <w:r w:rsidRPr="0090680E">
              <w:rPr>
                <w:b/>
                <w:bCs/>
              </w:rPr>
              <w:t>redacted</w:t>
            </w:r>
            <w:r w:rsidR="00857597">
              <w:rPr>
                <w:vertAlign w:val="superscript"/>
              </w:rPr>
              <w:t>3</w:t>
            </w:r>
          </w:p>
        </w:tc>
        <w:tc>
          <w:tcPr>
            <w:tcW w:w="943" w:type="dxa"/>
            <w:shd w:val="clear" w:color="auto" w:fill="auto"/>
            <w:vAlign w:val="center"/>
          </w:tcPr>
          <w:p w14:paraId="5BC1523E" w14:textId="4DA920A6" w:rsidR="007575A9" w:rsidRPr="001559E2" w:rsidRDefault="0090680E" w:rsidP="006A687C">
            <w:pPr>
              <w:pStyle w:val="TableText"/>
              <w:keepNext/>
              <w:jc w:val="center"/>
            </w:pPr>
            <w:r w:rsidRPr="0090680E">
              <w:rPr>
                <w:b/>
                <w:bCs/>
              </w:rPr>
              <w:t>redacted</w:t>
            </w:r>
            <w:r w:rsidR="00857597">
              <w:rPr>
                <w:vertAlign w:val="superscript"/>
              </w:rPr>
              <w:t>3</w:t>
            </w:r>
          </w:p>
        </w:tc>
        <w:tc>
          <w:tcPr>
            <w:tcW w:w="944" w:type="dxa"/>
            <w:shd w:val="clear" w:color="auto" w:fill="auto"/>
            <w:vAlign w:val="center"/>
          </w:tcPr>
          <w:p w14:paraId="227CF02A" w14:textId="6C564E14" w:rsidR="007575A9" w:rsidRPr="001559E2" w:rsidRDefault="0090680E" w:rsidP="006A687C">
            <w:pPr>
              <w:pStyle w:val="TableText"/>
              <w:keepNext/>
              <w:jc w:val="center"/>
            </w:pPr>
            <w:r w:rsidRPr="0090680E">
              <w:rPr>
                <w:b/>
                <w:bCs/>
              </w:rPr>
              <w:t>redacted</w:t>
            </w:r>
            <w:r w:rsidR="00857597">
              <w:rPr>
                <w:vertAlign w:val="superscript"/>
              </w:rPr>
              <w:t>3</w:t>
            </w:r>
          </w:p>
        </w:tc>
        <w:tc>
          <w:tcPr>
            <w:tcW w:w="943" w:type="dxa"/>
            <w:shd w:val="clear" w:color="auto" w:fill="auto"/>
            <w:vAlign w:val="center"/>
          </w:tcPr>
          <w:p w14:paraId="2E16345B" w14:textId="45FE43EF" w:rsidR="007575A9" w:rsidRPr="001559E2" w:rsidRDefault="0090680E" w:rsidP="006A687C">
            <w:pPr>
              <w:pStyle w:val="TableText"/>
              <w:keepNext/>
              <w:jc w:val="center"/>
            </w:pPr>
            <w:r w:rsidRPr="0090680E">
              <w:rPr>
                <w:b/>
                <w:bCs/>
              </w:rPr>
              <w:t>redacted</w:t>
            </w:r>
            <w:r w:rsidR="00857597">
              <w:rPr>
                <w:vertAlign w:val="superscript"/>
              </w:rPr>
              <w:t>3</w:t>
            </w:r>
          </w:p>
        </w:tc>
        <w:tc>
          <w:tcPr>
            <w:tcW w:w="944" w:type="dxa"/>
            <w:shd w:val="clear" w:color="auto" w:fill="auto"/>
            <w:vAlign w:val="center"/>
          </w:tcPr>
          <w:p w14:paraId="24E34A45" w14:textId="46810C9A" w:rsidR="007575A9" w:rsidRPr="001559E2" w:rsidRDefault="0090680E" w:rsidP="006A687C">
            <w:pPr>
              <w:pStyle w:val="TableText"/>
              <w:keepNext/>
              <w:jc w:val="center"/>
            </w:pPr>
            <w:r w:rsidRPr="0090680E">
              <w:rPr>
                <w:b/>
                <w:bCs/>
              </w:rPr>
              <w:t>redacted</w:t>
            </w:r>
            <w:r w:rsidR="00857597">
              <w:rPr>
                <w:vertAlign w:val="superscript"/>
              </w:rPr>
              <w:t>3</w:t>
            </w:r>
          </w:p>
        </w:tc>
      </w:tr>
      <w:tr w:rsidR="00C567E7" w:rsidRPr="00C530D6" w14:paraId="7867B4A5" w14:textId="77777777" w:rsidTr="0090680E">
        <w:tc>
          <w:tcPr>
            <w:tcW w:w="3158" w:type="dxa"/>
            <w:shd w:val="clear" w:color="auto" w:fill="auto"/>
          </w:tcPr>
          <w:p w14:paraId="5D6E847A" w14:textId="77777777" w:rsidR="007575A9" w:rsidRPr="00C530D6" w:rsidRDefault="007575A9" w:rsidP="006A687C">
            <w:pPr>
              <w:pStyle w:val="TableText"/>
              <w:keepNext/>
              <w:ind w:left="176"/>
            </w:pPr>
            <w:r w:rsidRPr="11FAFD31">
              <w:rPr>
                <w:i/>
                <w:iCs/>
              </w:rPr>
              <w:t>De novo BRCA</w:t>
            </w:r>
            <w:r w:rsidRPr="00C530D6">
              <w:t>m (</w:t>
            </w:r>
            <w:r w:rsidRPr="0090680E">
              <w:t>13.25</w:t>
            </w:r>
            <w:r w:rsidRPr="00C530D6">
              <w:t>%)</w:t>
            </w:r>
          </w:p>
        </w:tc>
        <w:tc>
          <w:tcPr>
            <w:tcW w:w="943" w:type="dxa"/>
            <w:shd w:val="clear" w:color="auto" w:fill="auto"/>
            <w:vAlign w:val="center"/>
          </w:tcPr>
          <w:p w14:paraId="73DD32DB" w14:textId="5FCD558C" w:rsidR="007575A9" w:rsidRPr="001559E2" w:rsidRDefault="0090680E" w:rsidP="006A687C">
            <w:pPr>
              <w:pStyle w:val="TableText"/>
              <w:keepNext/>
              <w:jc w:val="center"/>
            </w:pPr>
            <w:r w:rsidRPr="0090680E">
              <w:rPr>
                <w:b/>
                <w:bCs/>
              </w:rPr>
              <w:t>redacted</w:t>
            </w:r>
            <w:r w:rsidR="00857597">
              <w:rPr>
                <w:vertAlign w:val="superscript"/>
              </w:rPr>
              <w:t>3</w:t>
            </w:r>
          </w:p>
        </w:tc>
        <w:tc>
          <w:tcPr>
            <w:tcW w:w="944" w:type="dxa"/>
            <w:shd w:val="clear" w:color="auto" w:fill="auto"/>
            <w:vAlign w:val="center"/>
          </w:tcPr>
          <w:p w14:paraId="07F4E30A" w14:textId="6357C163" w:rsidR="007575A9" w:rsidRPr="001559E2" w:rsidRDefault="0090680E" w:rsidP="006A687C">
            <w:pPr>
              <w:pStyle w:val="TableText"/>
              <w:keepNext/>
              <w:jc w:val="center"/>
            </w:pPr>
            <w:r w:rsidRPr="0090680E">
              <w:rPr>
                <w:b/>
                <w:bCs/>
              </w:rPr>
              <w:t>redacted</w:t>
            </w:r>
            <w:r w:rsidR="00857597">
              <w:rPr>
                <w:vertAlign w:val="superscript"/>
              </w:rPr>
              <w:t>3</w:t>
            </w:r>
          </w:p>
        </w:tc>
        <w:tc>
          <w:tcPr>
            <w:tcW w:w="943" w:type="dxa"/>
            <w:shd w:val="clear" w:color="auto" w:fill="auto"/>
            <w:vAlign w:val="center"/>
          </w:tcPr>
          <w:p w14:paraId="58B6A443" w14:textId="38A2D186" w:rsidR="007575A9" w:rsidRPr="001559E2" w:rsidRDefault="0090680E" w:rsidP="006A687C">
            <w:pPr>
              <w:pStyle w:val="TableText"/>
              <w:keepNext/>
              <w:jc w:val="center"/>
            </w:pPr>
            <w:r w:rsidRPr="0090680E">
              <w:rPr>
                <w:b/>
                <w:bCs/>
              </w:rPr>
              <w:t>redacted</w:t>
            </w:r>
            <w:r w:rsidR="00857597">
              <w:rPr>
                <w:vertAlign w:val="superscript"/>
              </w:rPr>
              <w:t>3</w:t>
            </w:r>
          </w:p>
        </w:tc>
        <w:tc>
          <w:tcPr>
            <w:tcW w:w="944" w:type="dxa"/>
            <w:shd w:val="clear" w:color="auto" w:fill="auto"/>
            <w:vAlign w:val="center"/>
          </w:tcPr>
          <w:p w14:paraId="71C88FEE" w14:textId="594CE45C" w:rsidR="007575A9" w:rsidRPr="001559E2" w:rsidRDefault="0090680E" w:rsidP="006A687C">
            <w:pPr>
              <w:pStyle w:val="TableText"/>
              <w:keepNext/>
              <w:jc w:val="center"/>
            </w:pPr>
            <w:r w:rsidRPr="0090680E">
              <w:rPr>
                <w:b/>
                <w:bCs/>
              </w:rPr>
              <w:t>redacted</w:t>
            </w:r>
            <w:r w:rsidR="00857597">
              <w:rPr>
                <w:vertAlign w:val="superscript"/>
              </w:rPr>
              <w:t>3</w:t>
            </w:r>
          </w:p>
        </w:tc>
        <w:tc>
          <w:tcPr>
            <w:tcW w:w="943" w:type="dxa"/>
            <w:shd w:val="clear" w:color="auto" w:fill="auto"/>
            <w:vAlign w:val="center"/>
          </w:tcPr>
          <w:p w14:paraId="36468563" w14:textId="75E17FBA" w:rsidR="007575A9" w:rsidRPr="001559E2" w:rsidRDefault="0090680E" w:rsidP="006A687C">
            <w:pPr>
              <w:pStyle w:val="TableText"/>
              <w:keepNext/>
              <w:jc w:val="center"/>
            </w:pPr>
            <w:r w:rsidRPr="0090680E">
              <w:rPr>
                <w:b/>
                <w:bCs/>
              </w:rPr>
              <w:t>redacted</w:t>
            </w:r>
            <w:r w:rsidR="00857597">
              <w:rPr>
                <w:vertAlign w:val="superscript"/>
              </w:rPr>
              <w:t>3</w:t>
            </w:r>
          </w:p>
        </w:tc>
        <w:tc>
          <w:tcPr>
            <w:tcW w:w="944" w:type="dxa"/>
            <w:shd w:val="clear" w:color="auto" w:fill="auto"/>
            <w:vAlign w:val="center"/>
          </w:tcPr>
          <w:p w14:paraId="4A77FE68" w14:textId="66EDE865" w:rsidR="007575A9" w:rsidRPr="001559E2" w:rsidRDefault="0090680E" w:rsidP="006A687C">
            <w:pPr>
              <w:pStyle w:val="TableText"/>
              <w:keepNext/>
              <w:jc w:val="center"/>
            </w:pPr>
            <w:r w:rsidRPr="0090680E">
              <w:rPr>
                <w:b/>
                <w:bCs/>
              </w:rPr>
              <w:t>redacted</w:t>
            </w:r>
            <w:r w:rsidR="00857597">
              <w:rPr>
                <w:vertAlign w:val="superscript"/>
              </w:rPr>
              <w:t>3</w:t>
            </w:r>
          </w:p>
        </w:tc>
      </w:tr>
      <w:tr w:rsidR="00C567E7" w:rsidRPr="00C530D6" w14:paraId="4C263A34" w14:textId="77777777" w:rsidTr="0090680E">
        <w:tc>
          <w:tcPr>
            <w:tcW w:w="3158" w:type="dxa"/>
            <w:shd w:val="clear" w:color="auto" w:fill="auto"/>
          </w:tcPr>
          <w:p w14:paraId="3D8A081E" w14:textId="77777777" w:rsidR="007575A9" w:rsidRPr="00C530D6" w:rsidRDefault="007575A9" w:rsidP="006A687C">
            <w:pPr>
              <w:pStyle w:val="TableText"/>
              <w:keepNext/>
              <w:rPr>
                <w:b/>
                <w:bCs/>
              </w:rPr>
            </w:pPr>
            <w:r w:rsidRPr="00C530D6">
              <w:rPr>
                <w:b/>
              </w:rPr>
              <w:t>Total eligible TNBC patients</w:t>
            </w:r>
          </w:p>
        </w:tc>
        <w:tc>
          <w:tcPr>
            <w:tcW w:w="943" w:type="dxa"/>
            <w:shd w:val="clear" w:color="auto" w:fill="auto"/>
            <w:vAlign w:val="center"/>
          </w:tcPr>
          <w:p w14:paraId="73662935" w14:textId="4FF96533" w:rsidR="007575A9" w:rsidRPr="001559E2" w:rsidRDefault="0090680E" w:rsidP="006A687C">
            <w:pPr>
              <w:pStyle w:val="TableText"/>
              <w:keepNext/>
              <w:jc w:val="center"/>
              <w:rPr>
                <w:b/>
                <w:bCs/>
              </w:rPr>
            </w:pPr>
            <w:r w:rsidRPr="0090680E">
              <w:rPr>
                <w:b/>
                <w:bCs/>
              </w:rPr>
              <w:t>redacted</w:t>
            </w:r>
            <w:r w:rsidR="00857597">
              <w:rPr>
                <w:vertAlign w:val="superscript"/>
              </w:rPr>
              <w:t>3</w:t>
            </w:r>
          </w:p>
        </w:tc>
        <w:tc>
          <w:tcPr>
            <w:tcW w:w="944" w:type="dxa"/>
            <w:shd w:val="clear" w:color="auto" w:fill="auto"/>
            <w:vAlign w:val="center"/>
          </w:tcPr>
          <w:p w14:paraId="3147CCF1" w14:textId="2DAC2EB2" w:rsidR="007575A9" w:rsidRPr="001559E2" w:rsidRDefault="0090680E" w:rsidP="006A687C">
            <w:pPr>
              <w:pStyle w:val="TableText"/>
              <w:keepNext/>
              <w:jc w:val="center"/>
              <w:rPr>
                <w:b/>
                <w:bCs/>
              </w:rPr>
            </w:pPr>
            <w:r w:rsidRPr="0090680E">
              <w:rPr>
                <w:b/>
                <w:bCs/>
              </w:rPr>
              <w:t>redacted</w:t>
            </w:r>
            <w:r w:rsidR="00857597">
              <w:rPr>
                <w:vertAlign w:val="superscript"/>
              </w:rPr>
              <w:t>3</w:t>
            </w:r>
          </w:p>
        </w:tc>
        <w:tc>
          <w:tcPr>
            <w:tcW w:w="943" w:type="dxa"/>
            <w:shd w:val="clear" w:color="auto" w:fill="auto"/>
            <w:vAlign w:val="center"/>
          </w:tcPr>
          <w:p w14:paraId="2A8E089A" w14:textId="41881BFC" w:rsidR="007575A9" w:rsidRPr="001559E2" w:rsidRDefault="0090680E" w:rsidP="006A687C">
            <w:pPr>
              <w:pStyle w:val="TableText"/>
              <w:keepNext/>
              <w:jc w:val="center"/>
              <w:rPr>
                <w:b/>
                <w:bCs/>
              </w:rPr>
            </w:pPr>
            <w:r w:rsidRPr="0090680E">
              <w:rPr>
                <w:b/>
                <w:bCs/>
              </w:rPr>
              <w:t>redacted</w:t>
            </w:r>
            <w:r w:rsidR="00857597">
              <w:rPr>
                <w:vertAlign w:val="superscript"/>
              </w:rPr>
              <w:t>3</w:t>
            </w:r>
          </w:p>
        </w:tc>
        <w:tc>
          <w:tcPr>
            <w:tcW w:w="944" w:type="dxa"/>
            <w:shd w:val="clear" w:color="auto" w:fill="auto"/>
            <w:vAlign w:val="center"/>
          </w:tcPr>
          <w:p w14:paraId="25ECC7A0" w14:textId="1DA66AAA" w:rsidR="007575A9" w:rsidRPr="001559E2" w:rsidRDefault="0090680E" w:rsidP="006A687C">
            <w:pPr>
              <w:pStyle w:val="TableText"/>
              <w:keepNext/>
              <w:jc w:val="center"/>
              <w:rPr>
                <w:b/>
                <w:bCs/>
              </w:rPr>
            </w:pPr>
            <w:r w:rsidRPr="0090680E">
              <w:rPr>
                <w:b/>
                <w:bCs/>
              </w:rPr>
              <w:t>redacted</w:t>
            </w:r>
            <w:r w:rsidR="00857597">
              <w:rPr>
                <w:vertAlign w:val="superscript"/>
              </w:rPr>
              <w:t>3</w:t>
            </w:r>
          </w:p>
        </w:tc>
        <w:tc>
          <w:tcPr>
            <w:tcW w:w="943" w:type="dxa"/>
            <w:shd w:val="clear" w:color="auto" w:fill="auto"/>
            <w:vAlign w:val="center"/>
          </w:tcPr>
          <w:p w14:paraId="07B30A23" w14:textId="1456C69D" w:rsidR="007575A9" w:rsidRPr="001559E2" w:rsidRDefault="0090680E" w:rsidP="006A687C">
            <w:pPr>
              <w:pStyle w:val="TableText"/>
              <w:keepNext/>
              <w:jc w:val="center"/>
              <w:rPr>
                <w:b/>
                <w:bCs/>
              </w:rPr>
            </w:pPr>
            <w:r w:rsidRPr="0090680E">
              <w:rPr>
                <w:b/>
                <w:bCs/>
              </w:rPr>
              <w:t>redacted</w:t>
            </w:r>
            <w:r w:rsidR="00857597">
              <w:rPr>
                <w:vertAlign w:val="superscript"/>
              </w:rPr>
              <w:t>3</w:t>
            </w:r>
          </w:p>
        </w:tc>
        <w:tc>
          <w:tcPr>
            <w:tcW w:w="944" w:type="dxa"/>
            <w:shd w:val="clear" w:color="auto" w:fill="auto"/>
            <w:vAlign w:val="center"/>
          </w:tcPr>
          <w:p w14:paraId="7A989F5A" w14:textId="600E3A1E" w:rsidR="007575A9" w:rsidRPr="001559E2" w:rsidRDefault="0090680E" w:rsidP="006A687C">
            <w:pPr>
              <w:pStyle w:val="TableText"/>
              <w:keepNext/>
              <w:jc w:val="center"/>
              <w:rPr>
                <w:b/>
                <w:bCs/>
              </w:rPr>
            </w:pPr>
            <w:r w:rsidRPr="0090680E">
              <w:rPr>
                <w:b/>
                <w:bCs/>
              </w:rPr>
              <w:t>redacted</w:t>
            </w:r>
            <w:r w:rsidR="00857597">
              <w:rPr>
                <w:vertAlign w:val="superscript"/>
              </w:rPr>
              <w:t>3</w:t>
            </w:r>
          </w:p>
        </w:tc>
      </w:tr>
      <w:tr w:rsidR="007575A9" w:rsidRPr="00C530D6" w14:paraId="4ABEF6A4" w14:textId="77777777" w:rsidTr="11FAFD31">
        <w:tc>
          <w:tcPr>
            <w:tcW w:w="8819" w:type="dxa"/>
            <w:gridSpan w:val="7"/>
            <w:shd w:val="clear" w:color="auto" w:fill="auto"/>
          </w:tcPr>
          <w:p w14:paraId="7193B621" w14:textId="77777777" w:rsidR="007575A9" w:rsidRPr="00C530D6" w:rsidRDefault="007575A9" w:rsidP="006A687C">
            <w:pPr>
              <w:pStyle w:val="TableText"/>
              <w:keepNext/>
            </w:pPr>
            <w:r w:rsidRPr="00C530D6">
              <w:rPr>
                <w:b/>
              </w:rPr>
              <w:t>HR+ HER2-negative patients</w:t>
            </w:r>
          </w:p>
        </w:tc>
      </w:tr>
      <w:tr w:rsidR="00C567E7" w:rsidRPr="00C530D6" w14:paraId="4228322E" w14:textId="77777777" w:rsidTr="0090680E">
        <w:tc>
          <w:tcPr>
            <w:tcW w:w="3158" w:type="dxa"/>
            <w:shd w:val="clear" w:color="auto" w:fill="auto"/>
          </w:tcPr>
          <w:p w14:paraId="1B08C593" w14:textId="77777777" w:rsidR="007575A9" w:rsidRPr="00C530D6" w:rsidRDefault="007575A9" w:rsidP="006A687C">
            <w:pPr>
              <w:pStyle w:val="TableText"/>
              <w:keepNext/>
            </w:pPr>
            <w:r w:rsidRPr="00C530D6">
              <w:t>Incident population (CDK 4/6 inhibitor population)</w:t>
            </w:r>
          </w:p>
        </w:tc>
        <w:tc>
          <w:tcPr>
            <w:tcW w:w="943" w:type="dxa"/>
            <w:shd w:val="clear" w:color="auto" w:fill="auto"/>
            <w:vAlign w:val="center"/>
          </w:tcPr>
          <w:p w14:paraId="3A9063A2" w14:textId="1CD87CDF"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504AFF6A" w14:textId="383B4709"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68355CDF" w14:textId="5520FDCF"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6238CF45" w14:textId="6DB5CA5C"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3874785D" w14:textId="7221154B"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673A49A5" w14:textId="7A3AD168" w:rsidR="007575A9" w:rsidRPr="001559E2" w:rsidRDefault="0090680E" w:rsidP="006A687C">
            <w:pPr>
              <w:pStyle w:val="TableText"/>
              <w:keepNext/>
              <w:jc w:val="center"/>
            </w:pPr>
            <w:r w:rsidRPr="0090680E">
              <w:rPr>
                <w:b/>
                <w:bCs/>
              </w:rPr>
              <w:t>redacted</w:t>
            </w:r>
            <w:r w:rsidR="00857597">
              <w:rPr>
                <w:vertAlign w:val="superscript"/>
              </w:rPr>
              <w:t>2</w:t>
            </w:r>
          </w:p>
        </w:tc>
      </w:tr>
      <w:tr w:rsidR="00C567E7" w:rsidRPr="00C530D6" w14:paraId="14C38074" w14:textId="77777777" w:rsidTr="0090680E">
        <w:tc>
          <w:tcPr>
            <w:tcW w:w="3158" w:type="dxa"/>
            <w:shd w:val="clear" w:color="auto" w:fill="auto"/>
          </w:tcPr>
          <w:p w14:paraId="7513D370" w14:textId="77777777" w:rsidR="007575A9" w:rsidRPr="00C530D6" w:rsidRDefault="007575A9" w:rsidP="006A687C">
            <w:pPr>
              <w:pStyle w:val="TableText"/>
              <w:keepNext/>
            </w:pPr>
            <w:r w:rsidRPr="00C530D6">
              <w:t xml:space="preserve">Recurrent population </w:t>
            </w:r>
            <w:r w:rsidRPr="00F335E3">
              <w:t>(</w:t>
            </w:r>
            <w:r w:rsidRPr="0090680E">
              <w:t>66</w:t>
            </w:r>
            <w:r w:rsidRPr="00C530D6">
              <w:t>%)</w:t>
            </w:r>
          </w:p>
        </w:tc>
        <w:tc>
          <w:tcPr>
            <w:tcW w:w="943" w:type="dxa"/>
            <w:shd w:val="clear" w:color="auto" w:fill="auto"/>
            <w:vAlign w:val="center"/>
          </w:tcPr>
          <w:p w14:paraId="14A373CA" w14:textId="3D808A07"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5D9DC8D9" w14:textId="073C0324"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092F1D14" w14:textId="24513254"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6F7B3F7C" w14:textId="5A048779"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663F733A" w14:textId="7ACE0751"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2B346997" w14:textId="4CFBB0E0" w:rsidR="007575A9" w:rsidRPr="001559E2" w:rsidRDefault="0090680E" w:rsidP="006A687C">
            <w:pPr>
              <w:pStyle w:val="TableText"/>
              <w:keepNext/>
              <w:jc w:val="center"/>
            </w:pPr>
            <w:r w:rsidRPr="0090680E">
              <w:rPr>
                <w:b/>
                <w:bCs/>
              </w:rPr>
              <w:t>redacted</w:t>
            </w:r>
            <w:r w:rsidR="00857597">
              <w:rPr>
                <w:vertAlign w:val="superscript"/>
              </w:rPr>
              <w:t>2</w:t>
            </w:r>
          </w:p>
        </w:tc>
      </w:tr>
      <w:tr w:rsidR="00C567E7" w:rsidRPr="00C530D6" w14:paraId="5DA67B90" w14:textId="77777777" w:rsidTr="0090680E">
        <w:tc>
          <w:tcPr>
            <w:tcW w:w="3158" w:type="dxa"/>
            <w:shd w:val="clear" w:color="auto" w:fill="auto"/>
          </w:tcPr>
          <w:p w14:paraId="2B239744" w14:textId="77777777" w:rsidR="007575A9" w:rsidRPr="00C530D6" w:rsidDel="00734552" w:rsidRDefault="007575A9" w:rsidP="006A687C">
            <w:pPr>
              <w:pStyle w:val="TableText"/>
              <w:keepNext/>
              <w:ind w:left="176"/>
              <w:rPr>
                <w:highlight w:val="yellow"/>
              </w:rPr>
            </w:pPr>
            <w:r w:rsidRPr="00C530D6">
              <w:t xml:space="preserve">Proportion tested for </w:t>
            </w:r>
            <w:r w:rsidRPr="0066027B">
              <w:rPr>
                <w:i/>
                <w:iCs/>
              </w:rPr>
              <w:t>BRCA</w:t>
            </w:r>
          </w:p>
        </w:tc>
        <w:tc>
          <w:tcPr>
            <w:tcW w:w="943" w:type="dxa"/>
            <w:shd w:val="clear" w:color="auto" w:fill="auto"/>
          </w:tcPr>
          <w:p w14:paraId="0F6EDD3A" w14:textId="6EBD645A" w:rsidR="007575A9" w:rsidRPr="0066027B" w:rsidRDefault="0090680E" w:rsidP="006A687C">
            <w:pPr>
              <w:pStyle w:val="TableText"/>
              <w:keepNext/>
              <w:jc w:val="center"/>
              <w:rPr>
                <w:highlight w:val="yellow"/>
              </w:rPr>
            </w:pPr>
            <w:r w:rsidRPr="0090680E">
              <w:rPr>
                <w:b/>
                <w:bCs/>
              </w:rPr>
              <w:t>redacted</w:t>
            </w:r>
            <w:r w:rsidR="007575A9" w:rsidRPr="001559E2">
              <w:t>%</w:t>
            </w:r>
          </w:p>
        </w:tc>
        <w:tc>
          <w:tcPr>
            <w:tcW w:w="944" w:type="dxa"/>
            <w:shd w:val="clear" w:color="auto" w:fill="auto"/>
          </w:tcPr>
          <w:p w14:paraId="2B29C586" w14:textId="72BFCEDF" w:rsidR="007575A9" w:rsidRPr="0066027B" w:rsidRDefault="0090680E" w:rsidP="006A687C">
            <w:pPr>
              <w:pStyle w:val="TableText"/>
              <w:keepNext/>
              <w:jc w:val="center"/>
              <w:rPr>
                <w:highlight w:val="yellow"/>
              </w:rPr>
            </w:pPr>
            <w:r w:rsidRPr="0090680E">
              <w:rPr>
                <w:b/>
                <w:bCs/>
              </w:rPr>
              <w:t>redacted</w:t>
            </w:r>
            <w:r w:rsidR="007575A9" w:rsidRPr="001559E2">
              <w:t>%</w:t>
            </w:r>
          </w:p>
        </w:tc>
        <w:tc>
          <w:tcPr>
            <w:tcW w:w="943" w:type="dxa"/>
            <w:shd w:val="clear" w:color="auto" w:fill="auto"/>
          </w:tcPr>
          <w:p w14:paraId="7C8B7C25" w14:textId="43703CB8" w:rsidR="007575A9" w:rsidRPr="0066027B" w:rsidRDefault="0090680E" w:rsidP="006A687C">
            <w:pPr>
              <w:pStyle w:val="TableText"/>
              <w:keepNext/>
              <w:jc w:val="center"/>
              <w:rPr>
                <w:highlight w:val="yellow"/>
              </w:rPr>
            </w:pPr>
            <w:r w:rsidRPr="0090680E">
              <w:rPr>
                <w:b/>
                <w:bCs/>
              </w:rPr>
              <w:t>redacted</w:t>
            </w:r>
            <w:r w:rsidR="007575A9" w:rsidRPr="001559E2">
              <w:t>%</w:t>
            </w:r>
          </w:p>
        </w:tc>
        <w:tc>
          <w:tcPr>
            <w:tcW w:w="944" w:type="dxa"/>
            <w:shd w:val="clear" w:color="auto" w:fill="auto"/>
          </w:tcPr>
          <w:p w14:paraId="0E2688D0" w14:textId="43D6347D" w:rsidR="007575A9" w:rsidRPr="0066027B" w:rsidRDefault="0090680E" w:rsidP="006A687C">
            <w:pPr>
              <w:pStyle w:val="TableText"/>
              <w:keepNext/>
              <w:jc w:val="center"/>
              <w:rPr>
                <w:highlight w:val="yellow"/>
              </w:rPr>
            </w:pPr>
            <w:r w:rsidRPr="0090680E">
              <w:rPr>
                <w:b/>
                <w:bCs/>
              </w:rPr>
              <w:t>redacted</w:t>
            </w:r>
            <w:r w:rsidR="007575A9" w:rsidRPr="001559E2">
              <w:t>%</w:t>
            </w:r>
          </w:p>
        </w:tc>
        <w:tc>
          <w:tcPr>
            <w:tcW w:w="943" w:type="dxa"/>
            <w:shd w:val="clear" w:color="auto" w:fill="auto"/>
          </w:tcPr>
          <w:p w14:paraId="775B404B" w14:textId="0BA86A7E" w:rsidR="007575A9" w:rsidRPr="0066027B" w:rsidRDefault="0090680E" w:rsidP="006A687C">
            <w:pPr>
              <w:pStyle w:val="TableText"/>
              <w:keepNext/>
              <w:jc w:val="center"/>
              <w:rPr>
                <w:highlight w:val="yellow"/>
              </w:rPr>
            </w:pPr>
            <w:r w:rsidRPr="0090680E">
              <w:rPr>
                <w:b/>
                <w:bCs/>
              </w:rPr>
              <w:t>redacted</w:t>
            </w:r>
            <w:r w:rsidR="007575A9" w:rsidRPr="001559E2">
              <w:t>%</w:t>
            </w:r>
          </w:p>
        </w:tc>
        <w:tc>
          <w:tcPr>
            <w:tcW w:w="944" w:type="dxa"/>
            <w:shd w:val="clear" w:color="auto" w:fill="auto"/>
          </w:tcPr>
          <w:p w14:paraId="02BE67F3" w14:textId="570A1766" w:rsidR="007575A9" w:rsidRPr="0066027B" w:rsidRDefault="0090680E" w:rsidP="006A687C">
            <w:pPr>
              <w:pStyle w:val="TableText"/>
              <w:keepNext/>
              <w:jc w:val="center"/>
              <w:rPr>
                <w:highlight w:val="yellow"/>
              </w:rPr>
            </w:pPr>
            <w:r w:rsidRPr="0090680E">
              <w:rPr>
                <w:b/>
                <w:bCs/>
              </w:rPr>
              <w:t>redacted</w:t>
            </w:r>
            <w:r w:rsidR="007575A9" w:rsidRPr="001559E2">
              <w:t>%</w:t>
            </w:r>
          </w:p>
        </w:tc>
      </w:tr>
      <w:tr w:rsidR="00C567E7" w:rsidRPr="00C530D6" w14:paraId="1B4710CE" w14:textId="77777777" w:rsidTr="0090680E">
        <w:tc>
          <w:tcPr>
            <w:tcW w:w="3158" w:type="dxa"/>
            <w:shd w:val="clear" w:color="auto" w:fill="auto"/>
          </w:tcPr>
          <w:p w14:paraId="56DF3C8C" w14:textId="77777777" w:rsidR="007575A9" w:rsidRPr="007575A9" w:rsidRDefault="007575A9" w:rsidP="006A687C">
            <w:pPr>
              <w:pStyle w:val="TableText"/>
              <w:keepNext/>
              <w:ind w:left="176"/>
            </w:pPr>
            <w:bookmarkStart w:id="49" w:name="_Hlk166426356"/>
            <w:r w:rsidRPr="007575A9">
              <w:t xml:space="preserve">Recurrent metastatic cancer tested for </w:t>
            </w:r>
            <w:r w:rsidRPr="0066027B">
              <w:rPr>
                <w:i/>
                <w:iCs/>
              </w:rPr>
              <w:t>BRCA</w:t>
            </w:r>
          </w:p>
        </w:tc>
        <w:tc>
          <w:tcPr>
            <w:tcW w:w="943" w:type="dxa"/>
            <w:shd w:val="clear" w:color="auto" w:fill="auto"/>
            <w:vAlign w:val="center"/>
          </w:tcPr>
          <w:p w14:paraId="4D22B3A8" w14:textId="393083AA"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475303FB" w14:textId="1537E1E8"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56CC86C1" w14:textId="1BE25042"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7F5A7A65" w14:textId="542DB8AF"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4D165E31" w14:textId="79130110"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6E284E0C" w14:textId="691CCDCD" w:rsidR="007575A9" w:rsidRPr="001559E2" w:rsidRDefault="0090680E" w:rsidP="006A687C">
            <w:pPr>
              <w:pStyle w:val="TableText"/>
              <w:keepNext/>
              <w:jc w:val="center"/>
            </w:pPr>
            <w:r w:rsidRPr="0090680E">
              <w:rPr>
                <w:b/>
                <w:bCs/>
              </w:rPr>
              <w:t>redacted</w:t>
            </w:r>
            <w:r w:rsidR="00857597">
              <w:rPr>
                <w:vertAlign w:val="superscript"/>
              </w:rPr>
              <w:t>2</w:t>
            </w:r>
          </w:p>
        </w:tc>
      </w:tr>
      <w:bookmarkEnd w:id="49"/>
      <w:tr w:rsidR="00C567E7" w:rsidRPr="00C530D6" w14:paraId="53A08D7C" w14:textId="77777777" w:rsidTr="0090680E">
        <w:tc>
          <w:tcPr>
            <w:tcW w:w="3158" w:type="dxa"/>
            <w:shd w:val="clear" w:color="auto" w:fill="auto"/>
          </w:tcPr>
          <w:p w14:paraId="055FB886" w14:textId="2F1B961A" w:rsidR="007575A9" w:rsidRPr="007575A9" w:rsidRDefault="007575A9" w:rsidP="006A687C">
            <w:pPr>
              <w:pStyle w:val="TableText"/>
              <w:keepNext/>
              <w:ind w:left="176"/>
            </w:pPr>
            <w:r w:rsidRPr="007575A9">
              <w:t>Recurrent metastatic cancer who have received (neo)adjuvant chemotherapy (</w:t>
            </w:r>
            <w:r w:rsidRPr="0090680E">
              <w:t>63</w:t>
            </w:r>
            <w:r w:rsidRPr="007575A9">
              <w:t xml:space="preserve">%), and tested for </w:t>
            </w:r>
            <w:r w:rsidRPr="11FAFD31">
              <w:rPr>
                <w:i/>
                <w:iCs/>
              </w:rPr>
              <w:t>BRCA</w:t>
            </w:r>
          </w:p>
        </w:tc>
        <w:tc>
          <w:tcPr>
            <w:tcW w:w="943" w:type="dxa"/>
            <w:shd w:val="clear" w:color="auto" w:fill="auto"/>
            <w:vAlign w:val="center"/>
          </w:tcPr>
          <w:p w14:paraId="443698D0" w14:textId="11102F95" w:rsidR="007575A9" w:rsidRPr="001559E2" w:rsidRDefault="0090680E" w:rsidP="006A687C">
            <w:pPr>
              <w:pStyle w:val="TableText"/>
              <w:keepNext/>
              <w:jc w:val="center"/>
            </w:pPr>
            <w:r w:rsidRPr="0090680E">
              <w:rPr>
                <w:b/>
                <w:bCs/>
              </w:rPr>
              <w:t>redacted</w:t>
            </w:r>
            <w:r w:rsidR="000906CF">
              <w:rPr>
                <w:vertAlign w:val="superscript"/>
              </w:rPr>
              <w:t>3</w:t>
            </w:r>
          </w:p>
        </w:tc>
        <w:tc>
          <w:tcPr>
            <w:tcW w:w="944" w:type="dxa"/>
            <w:shd w:val="clear" w:color="auto" w:fill="auto"/>
            <w:vAlign w:val="center"/>
          </w:tcPr>
          <w:p w14:paraId="7D913CE0" w14:textId="34FE0F24"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47D94AFF" w14:textId="1197B1C5"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761EE895" w14:textId="038B964E"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1ACD9511" w14:textId="1D11E99B"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5BDC6718" w14:textId="533BACC9" w:rsidR="007575A9" w:rsidRPr="001559E2" w:rsidRDefault="0090680E" w:rsidP="006A687C">
            <w:pPr>
              <w:pStyle w:val="TableText"/>
              <w:keepNext/>
              <w:jc w:val="center"/>
            </w:pPr>
            <w:r w:rsidRPr="0090680E">
              <w:rPr>
                <w:b/>
                <w:bCs/>
              </w:rPr>
              <w:t>redacted</w:t>
            </w:r>
            <w:r w:rsidR="00857597">
              <w:rPr>
                <w:vertAlign w:val="superscript"/>
              </w:rPr>
              <w:t>2</w:t>
            </w:r>
          </w:p>
        </w:tc>
      </w:tr>
      <w:tr w:rsidR="00C567E7" w:rsidRPr="00C530D6" w14:paraId="41605F1B" w14:textId="77777777" w:rsidTr="0090680E">
        <w:tc>
          <w:tcPr>
            <w:tcW w:w="3158" w:type="dxa"/>
            <w:shd w:val="clear" w:color="auto" w:fill="auto"/>
          </w:tcPr>
          <w:p w14:paraId="14784D98" w14:textId="77777777" w:rsidR="007575A9" w:rsidRPr="00C530D6" w:rsidRDefault="007575A9" w:rsidP="006A687C">
            <w:pPr>
              <w:pStyle w:val="TableText"/>
              <w:keepNext/>
              <w:ind w:left="176"/>
            </w:pPr>
            <w:r w:rsidRPr="00C530D6">
              <w:t xml:space="preserve">Recurrent metastatic cancer who have received (neo)adjuvant chemotherapy, and </w:t>
            </w:r>
            <w:r w:rsidRPr="11FAFD31">
              <w:rPr>
                <w:i/>
                <w:iCs/>
              </w:rPr>
              <w:t>BRCA</w:t>
            </w:r>
            <w:r w:rsidRPr="00C530D6">
              <w:t xml:space="preserve">m </w:t>
            </w:r>
            <w:r w:rsidRPr="00F335E3">
              <w:t>(</w:t>
            </w:r>
            <w:r w:rsidRPr="0090680E">
              <w:t>5</w:t>
            </w:r>
            <w:r w:rsidRPr="00C530D6">
              <w:t>%)</w:t>
            </w:r>
          </w:p>
        </w:tc>
        <w:tc>
          <w:tcPr>
            <w:tcW w:w="943" w:type="dxa"/>
            <w:shd w:val="clear" w:color="auto" w:fill="auto"/>
            <w:vAlign w:val="center"/>
          </w:tcPr>
          <w:p w14:paraId="6645884C" w14:textId="33606DD1" w:rsidR="007575A9" w:rsidRPr="001559E2" w:rsidRDefault="0090680E" w:rsidP="006A687C">
            <w:pPr>
              <w:pStyle w:val="TableText"/>
              <w:keepNext/>
              <w:jc w:val="center"/>
            </w:pPr>
            <w:r w:rsidRPr="0090680E">
              <w:rPr>
                <w:b/>
                <w:bCs/>
              </w:rPr>
              <w:t>redacted</w:t>
            </w:r>
            <w:r w:rsidR="000906CF">
              <w:rPr>
                <w:vertAlign w:val="superscript"/>
              </w:rPr>
              <w:t>3</w:t>
            </w:r>
          </w:p>
        </w:tc>
        <w:tc>
          <w:tcPr>
            <w:tcW w:w="944" w:type="dxa"/>
            <w:shd w:val="clear" w:color="auto" w:fill="auto"/>
            <w:vAlign w:val="center"/>
          </w:tcPr>
          <w:p w14:paraId="148AC1C6" w14:textId="1561B9C1" w:rsidR="007575A9" w:rsidRPr="001559E2" w:rsidRDefault="0090680E" w:rsidP="006A687C">
            <w:pPr>
              <w:pStyle w:val="TableText"/>
              <w:keepNext/>
              <w:jc w:val="center"/>
            </w:pPr>
            <w:r w:rsidRPr="0090680E">
              <w:rPr>
                <w:b/>
                <w:bCs/>
              </w:rPr>
              <w:t>redacted</w:t>
            </w:r>
            <w:r w:rsidR="000906CF">
              <w:rPr>
                <w:vertAlign w:val="superscript"/>
              </w:rPr>
              <w:t>3</w:t>
            </w:r>
          </w:p>
        </w:tc>
        <w:tc>
          <w:tcPr>
            <w:tcW w:w="943" w:type="dxa"/>
            <w:shd w:val="clear" w:color="auto" w:fill="auto"/>
            <w:vAlign w:val="center"/>
          </w:tcPr>
          <w:p w14:paraId="2A388D91" w14:textId="611FD7E2" w:rsidR="007575A9" w:rsidRPr="001559E2" w:rsidRDefault="0090680E" w:rsidP="006A687C">
            <w:pPr>
              <w:pStyle w:val="TableText"/>
              <w:keepNext/>
              <w:jc w:val="center"/>
            </w:pPr>
            <w:r w:rsidRPr="0090680E">
              <w:rPr>
                <w:b/>
                <w:bCs/>
              </w:rPr>
              <w:t>redacted</w:t>
            </w:r>
            <w:r w:rsidR="000906CF">
              <w:rPr>
                <w:vertAlign w:val="superscript"/>
              </w:rPr>
              <w:t>3</w:t>
            </w:r>
          </w:p>
        </w:tc>
        <w:tc>
          <w:tcPr>
            <w:tcW w:w="944" w:type="dxa"/>
            <w:shd w:val="clear" w:color="auto" w:fill="auto"/>
            <w:vAlign w:val="center"/>
          </w:tcPr>
          <w:p w14:paraId="569BB5D6" w14:textId="1DA9F0D7" w:rsidR="007575A9" w:rsidRPr="001559E2" w:rsidRDefault="0090680E" w:rsidP="006A687C">
            <w:pPr>
              <w:pStyle w:val="TableText"/>
              <w:keepNext/>
              <w:jc w:val="center"/>
            </w:pPr>
            <w:r w:rsidRPr="0090680E">
              <w:rPr>
                <w:b/>
                <w:bCs/>
              </w:rPr>
              <w:t>redacted</w:t>
            </w:r>
            <w:r w:rsidR="000906CF">
              <w:rPr>
                <w:vertAlign w:val="superscript"/>
              </w:rPr>
              <w:t>3</w:t>
            </w:r>
          </w:p>
        </w:tc>
        <w:tc>
          <w:tcPr>
            <w:tcW w:w="943" w:type="dxa"/>
            <w:shd w:val="clear" w:color="auto" w:fill="auto"/>
            <w:vAlign w:val="center"/>
          </w:tcPr>
          <w:p w14:paraId="2E9BBB7E" w14:textId="1B8925A0" w:rsidR="007575A9" w:rsidRPr="001559E2" w:rsidRDefault="0090680E" w:rsidP="006A687C">
            <w:pPr>
              <w:pStyle w:val="TableText"/>
              <w:keepNext/>
              <w:jc w:val="center"/>
            </w:pPr>
            <w:r w:rsidRPr="0090680E">
              <w:rPr>
                <w:b/>
                <w:bCs/>
              </w:rPr>
              <w:t>redacted</w:t>
            </w:r>
            <w:r w:rsidR="000906CF">
              <w:rPr>
                <w:vertAlign w:val="superscript"/>
              </w:rPr>
              <w:t>3</w:t>
            </w:r>
          </w:p>
        </w:tc>
        <w:tc>
          <w:tcPr>
            <w:tcW w:w="944" w:type="dxa"/>
            <w:shd w:val="clear" w:color="auto" w:fill="auto"/>
            <w:vAlign w:val="center"/>
          </w:tcPr>
          <w:p w14:paraId="2774A811" w14:textId="77752378" w:rsidR="007575A9" w:rsidRPr="001559E2" w:rsidRDefault="0090680E" w:rsidP="006A687C">
            <w:pPr>
              <w:pStyle w:val="TableText"/>
              <w:keepNext/>
              <w:jc w:val="center"/>
            </w:pPr>
            <w:r w:rsidRPr="0090680E">
              <w:rPr>
                <w:b/>
                <w:bCs/>
              </w:rPr>
              <w:t>redacted</w:t>
            </w:r>
            <w:r w:rsidR="000906CF">
              <w:rPr>
                <w:vertAlign w:val="superscript"/>
              </w:rPr>
              <w:t>3</w:t>
            </w:r>
          </w:p>
        </w:tc>
      </w:tr>
      <w:tr w:rsidR="00C567E7" w:rsidRPr="00C530D6" w14:paraId="33B0B32C" w14:textId="77777777" w:rsidTr="0090680E">
        <w:tc>
          <w:tcPr>
            <w:tcW w:w="3158" w:type="dxa"/>
            <w:shd w:val="clear" w:color="auto" w:fill="auto"/>
          </w:tcPr>
          <w:p w14:paraId="292D5ADD" w14:textId="61273722" w:rsidR="007575A9" w:rsidRPr="00C530D6" w:rsidRDefault="007575A9" w:rsidP="006A687C">
            <w:pPr>
              <w:pStyle w:val="TableText"/>
              <w:keepNext/>
            </w:pPr>
            <w:r w:rsidRPr="0066027B">
              <w:rPr>
                <w:i/>
                <w:iCs/>
              </w:rPr>
              <w:t xml:space="preserve">De </w:t>
            </w:r>
            <w:r w:rsidR="006A53AC" w:rsidRPr="0066027B">
              <w:rPr>
                <w:i/>
                <w:iCs/>
              </w:rPr>
              <w:t>n</w:t>
            </w:r>
            <w:r w:rsidRPr="0066027B">
              <w:rPr>
                <w:i/>
                <w:iCs/>
              </w:rPr>
              <w:t>ovo</w:t>
            </w:r>
            <w:r w:rsidRPr="00C530D6">
              <w:t xml:space="preserve"> </w:t>
            </w:r>
            <w:r w:rsidR="006A53AC">
              <w:t>m</w:t>
            </w:r>
            <w:r w:rsidRPr="00C530D6">
              <w:t>etastatic breast cancer (34%)</w:t>
            </w:r>
          </w:p>
        </w:tc>
        <w:tc>
          <w:tcPr>
            <w:tcW w:w="943" w:type="dxa"/>
            <w:shd w:val="clear" w:color="auto" w:fill="auto"/>
            <w:vAlign w:val="center"/>
          </w:tcPr>
          <w:p w14:paraId="4C0391C6" w14:textId="63DEA336"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3FFC2954" w14:textId="6F2828C1"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47CA5188" w14:textId="72B061A8"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37A6BC54" w14:textId="739F5972"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1293A7E7" w14:textId="43376E83"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459D0409" w14:textId="40977A6C" w:rsidR="007575A9" w:rsidRPr="001559E2" w:rsidRDefault="0090680E" w:rsidP="006A687C">
            <w:pPr>
              <w:pStyle w:val="TableText"/>
              <w:keepNext/>
              <w:jc w:val="center"/>
            </w:pPr>
            <w:r w:rsidRPr="0090680E">
              <w:rPr>
                <w:b/>
                <w:bCs/>
              </w:rPr>
              <w:t>redacted</w:t>
            </w:r>
            <w:r w:rsidR="00857597">
              <w:rPr>
                <w:vertAlign w:val="superscript"/>
              </w:rPr>
              <w:t>2</w:t>
            </w:r>
          </w:p>
        </w:tc>
      </w:tr>
      <w:tr w:rsidR="00C567E7" w:rsidRPr="00C530D6" w14:paraId="56392A0E" w14:textId="77777777" w:rsidTr="0090680E">
        <w:tc>
          <w:tcPr>
            <w:tcW w:w="3158" w:type="dxa"/>
            <w:shd w:val="clear" w:color="auto" w:fill="auto"/>
          </w:tcPr>
          <w:p w14:paraId="1CD67A06" w14:textId="77777777" w:rsidR="007575A9" w:rsidRPr="00C530D6" w:rsidRDefault="007575A9" w:rsidP="006A687C">
            <w:pPr>
              <w:pStyle w:val="TableText"/>
              <w:keepNext/>
              <w:ind w:left="318" w:hanging="142"/>
            </w:pPr>
            <w:r w:rsidRPr="00C530D6">
              <w:t xml:space="preserve">Proportion tested for </w:t>
            </w:r>
            <w:r w:rsidRPr="0066027B">
              <w:rPr>
                <w:i/>
                <w:iCs/>
              </w:rPr>
              <w:t>BRCA</w:t>
            </w:r>
          </w:p>
        </w:tc>
        <w:tc>
          <w:tcPr>
            <w:tcW w:w="943" w:type="dxa"/>
            <w:shd w:val="clear" w:color="auto" w:fill="auto"/>
          </w:tcPr>
          <w:p w14:paraId="6B140641" w14:textId="0E404B1E" w:rsidR="007575A9" w:rsidRPr="0066027B" w:rsidRDefault="0090680E" w:rsidP="006A687C">
            <w:pPr>
              <w:pStyle w:val="TableText"/>
              <w:keepNext/>
              <w:jc w:val="center"/>
            </w:pPr>
            <w:r w:rsidRPr="0090680E">
              <w:rPr>
                <w:b/>
                <w:bCs/>
              </w:rPr>
              <w:t>redacted</w:t>
            </w:r>
            <w:r w:rsidR="007575A9" w:rsidRPr="001559E2">
              <w:t>%</w:t>
            </w:r>
          </w:p>
        </w:tc>
        <w:tc>
          <w:tcPr>
            <w:tcW w:w="944" w:type="dxa"/>
            <w:shd w:val="clear" w:color="auto" w:fill="auto"/>
          </w:tcPr>
          <w:p w14:paraId="7A40CFCA" w14:textId="538E751F" w:rsidR="007575A9" w:rsidRPr="0066027B" w:rsidRDefault="0090680E" w:rsidP="006A687C">
            <w:pPr>
              <w:pStyle w:val="TableText"/>
              <w:keepNext/>
              <w:jc w:val="center"/>
            </w:pPr>
            <w:r w:rsidRPr="0090680E">
              <w:rPr>
                <w:b/>
                <w:bCs/>
              </w:rPr>
              <w:t>redacted</w:t>
            </w:r>
            <w:r w:rsidR="007575A9" w:rsidRPr="001559E2">
              <w:t>%</w:t>
            </w:r>
          </w:p>
        </w:tc>
        <w:tc>
          <w:tcPr>
            <w:tcW w:w="943" w:type="dxa"/>
            <w:shd w:val="clear" w:color="auto" w:fill="auto"/>
          </w:tcPr>
          <w:p w14:paraId="2370730B" w14:textId="1B2FFB15" w:rsidR="007575A9" w:rsidRPr="0066027B" w:rsidRDefault="0090680E" w:rsidP="006A687C">
            <w:pPr>
              <w:pStyle w:val="TableText"/>
              <w:keepNext/>
              <w:jc w:val="center"/>
            </w:pPr>
            <w:r w:rsidRPr="0090680E">
              <w:rPr>
                <w:b/>
                <w:bCs/>
              </w:rPr>
              <w:t>redacted</w:t>
            </w:r>
            <w:r w:rsidR="007575A9" w:rsidRPr="001559E2">
              <w:t>%</w:t>
            </w:r>
          </w:p>
        </w:tc>
        <w:tc>
          <w:tcPr>
            <w:tcW w:w="944" w:type="dxa"/>
            <w:shd w:val="clear" w:color="auto" w:fill="auto"/>
          </w:tcPr>
          <w:p w14:paraId="2BFA2DD0" w14:textId="1AC01FC9" w:rsidR="007575A9" w:rsidRPr="0066027B" w:rsidRDefault="0090680E" w:rsidP="006A687C">
            <w:pPr>
              <w:pStyle w:val="TableText"/>
              <w:keepNext/>
              <w:jc w:val="center"/>
            </w:pPr>
            <w:r w:rsidRPr="0090680E">
              <w:rPr>
                <w:b/>
                <w:bCs/>
              </w:rPr>
              <w:t>redacted</w:t>
            </w:r>
            <w:r w:rsidR="007575A9" w:rsidRPr="001559E2">
              <w:t>%</w:t>
            </w:r>
          </w:p>
        </w:tc>
        <w:tc>
          <w:tcPr>
            <w:tcW w:w="943" w:type="dxa"/>
            <w:shd w:val="clear" w:color="auto" w:fill="auto"/>
          </w:tcPr>
          <w:p w14:paraId="37BC3C9C" w14:textId="57901C9D" w:rsidR="007575A9" w:rsidRPr="0066027B" w:rsidRDefault="0090680E" w:rsidP="006A687C">
            <w:pPr>
              <w:pStyle w:val="TableText"/>
              <w:keepNext/>
              <w:jc w:val="center"/>
            </w:pPr>
            <w:r w:rsidRPr="0090680E">
              <w:rPr>
                <w:b/>
                <w:bCs/>
              </w:rPr>
              <w:t>redacted</w:t>
            </w:r>
            <w:r w:rsidR="007575A9" w:rsidRPr="001559E2">
              <w:t>%</w:t>
            </w:r>
          </w:p>
        </w:tc>
        <w:tc>
          <w:tcPr>
            <w:tcW w:w="944" w:type="dxa"/>
            <w:shd w:val="clear" w:color="auto" w:fill="auto"/>
          </w:tcPr>
          <w:p w14:paraId="4B6E016A" w14:textId="4EA68E86" w:rsidR="007575A9" w:rsidRPr="0066027B" w:rsidRDefault="0090680E" w:rsidP="006A687C">
            <w:pPr>
              <w:pStyle w:val="TableText"/>
              <w:keepNext/>
              <w:jc w:val="center"/>
            </w:pPr>
            <w:r w:rsidRPr="0090680E">
              <w:rPr>
                <w:b/>
                <w:bCs/>
              </w:rPr>
              <w:t>redacted</w:t>
            </w:r>
            <w:r w:rsidR="007575A9" w:rsidRPr="001559E2">
              <w:t>%</w:t>
            </w:r>
          </w:p>
        </w:tc>
      </w:tr>
      <w:tr w:rsidR="00C567E7" w:rsidRPr="00C530D6" w14:paraId="137A6435" w14:textId="77777777" w:rsidTr="0090680E">
        <w:tc>
          <w:tcPr>
            <w:tcW w:w="3158" w:type="dxa"/>
            <w:shd w:val="clear" w:color="auto" w:fill="auto"/>
          </w:tcPr>
          <w:p w14:paraId="6A0F4029" w14:textId="77777777" w:rsidR="007575A9" w:rsidRPr="00C530D6" w:rsidRDefault="007575A9" w:rsidP="006A687C">
            <w:pPr>
              <w:pStyle w:val="TableText"/>
              <w:keepNext/>
              <w:ind w:left="318" w:hanging="142"/>
            </w:pPr>
            <w:r w:rsidRPr="0066027B">
              <w:rPr>
                <w:i/>
                <w:iCs/>
              </w:rPr>
              <w:t>De novo</w:t>
            </w:r>
            <w:r w:rsidRPr="00C530D6">
              <w:t xml:space="preserve"> population tested for </w:t>
            </w:r>
            <w:r w:rsidRPr="0066027B">
              <w:rPr>
                <w:i/>
                <w:iCs/>
              </w:rPr>
              <w:t>BRCA</w:t>
            </w:r>
          </w:p>
        </w:tc>
        <w:tc>
          <w:tcPr>
            <w:tcW w:w="943" w:type="dxa"/>
            <w:shd w:val="clear" w:color="auto" w:fill="auto"/>
            <w:vAlign w:val="center"/>
          </w:tcPr>
          <w:p w14:paraId="661D665E" w14:textId="66B67C33" w:rsidR="007575A9" w:rsidRPr="001559E2" w:rsidRDefault="0090680E" w:rsidP="006A687C">
            <w:pPr>
              <w:pStyle w:val="TableText"/>
              <w:keepNext/>
              <w:jc w:val="center"/>
            </w:pPr>
            <w:r w:rsidRPr="0090680E">
              <w:rPr>
                <w:b/>
                <w:bCs/>
              </w:rPr>
              <w:t>redacted</w:t>
            </w:r>
            <w:r w:rsidR="000906CF">
              <w:rPr>
                <w:vertAlign w:val="superscript"/>
              </w:rPr>
              <w:t>3</w:t>
            </w:r>
          </w:p>
        </w:tc>
        <w:tc>
          <w:tcPr>
            <w:tcW w:w="944" w:type="dxa"/>
            <w:shd w:val="clear" w:color="auto" w:fill="auto"/>
            <w:vAlign w:val="center"/>
          </w:tcPr>
          <w:p w14:paraId="10ED1F8F" w14:textId="01C7A259"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73E06AA4" w14:textId="62ABE06F"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0368108A" w14:textId="76CDF3B1" w:rsidR="007575A9" w:rsidRPr="001559E2" w:rsidRDefault="0090680E" w:rsidP="006A687C">
            <w:pPr>
              <w:pStyle w:val="TableText"/>
              <w:keepNext/>
              <w:jc w:val="center"/>
            </w:pPr>
            <w:r w:rsidRPr="0090680E">
              <w:rPr>
                <w:b/>
                <w:bCs/>
              </w:rPr>
              <w:t>redacted</w:t>
            </w:r>
            <w:r w:rsidR="00857597">
              <w:rPr>
                <w:vertAlign w:val="superscript"/>
              </w:rPr>
              <w:t>2</w:t>
            </w:r>
          </w:p>
        </w:tc>
        <w:tc>
          <w:tcPr>
            <w:tcW w:w="943" w:type="dxa"/>
            <w:shd w:val="clear" w:color="auto" w:fill="auto"/>
            <w:vAlign w:val="center"/>
          </w:tcPr>
          <w:p w14:paraId="4A4F3475" w14:textId="560AB753" w:rsidR="007575A9" w:rsidRPr="001559E2" w:rsidRDefault="0090680E" w:rsidP="006A687C">
            <w:pPr>
              <w:pStyle w:val="TableText"/>
              <w:keepNext/>
              <w:jc w:val="center"/>
            </w:pPr>
            <w:r w:rsidRPr="0090680E">
              <w:rPr>
                <w:b/>
                <w:bCs/>
              </w:rPr>
              <w:t>redacted</w:t>
            </w:r>
            <w:r w:rsidR="00857597">
              <w:rPr>
                <w:vertAlign w:val="superscript"/>
              </w:rPr>
              <w:t>2</w:t>
            </w:r>
          </w:p>
        </w:tc>
        <w:tc>
          <w:tcPr>
            <w:tcW w:w="944" w:type="dxa"/>
            <w:shd w:val="clear" w:color="auto" w:fill="auto"/>
            <w:vAlign w:val="center"/>
          </w:tcPr>
          <w:p w14:paraId="5B9C3A6E" w14:textId="7427C5E3" w:rsidR="007575A9" w:rsidRPr="001559E2" w:rsidRDefault="0090680E" w:rsidP="006A687C">
            <w:pPr>
              <w:pStyle w:val="TableText"/>
              <w:keepNext/>
              <w:jc w:val="center"/>
            </w:pPr>
            <w:r w:rsidRPr="0090680E">
              <w:rPr>
                <w:b/>
                <w:bCs/>
              </w:rPr>
              <w:t>redacted</w:t>
            </w:r>
            <w:r w:rsidR="00857597">
              <w:rPr>
                <w:vertAlign w:val="superscript"/>
              </w:rPr>
              <w:t>2</w:t>
            </w:r>
          </w:p>
        </w:tc>
      </w:tr>
      <w:tr w:rsidR="00C567E7" w:rsidRPr="00C530D6" w14:paraId="4D74EE0E" w14:textId="77777777" w:rsidTr="0090680E">
        <w:tc>
          <w:tcPr>
            <w:tcW w:w="3158" w:type="dxa"/>
            <w:shd w:val="clear" w:color="auto" w:fill="auto"/>
          </w:tcPr>
          <w:p w14:paraId="5962FB5A" w14:textId="77777777" w:rsidR="007575A9" w:rsidRPr="00C530D6" w:rsidRDefault="007575A9" w:rsidP="006A687C">
            <w:pPr>
              <w:pStyle w:val="TableText"/>
              <w:keepNext/>
              <w:ind w:left="318" w:hanging="142"/>
            </w:pPr>
            <w:r w:rsidRPr="11FAFD31">
              <w:rPr>
                <w:i/>
                <w:iCs/>
              </w:rPr>
              <w:t>De novo BRCA</w:t>
            </w:r>
            <w:r w:rsidRPr="00C530D6">
              <w:t>m (</w:t>
            </w:r>
            <w:r w:rsidRPr="0090680E">
              <w:t>5</w:t>
            </w:r>
            <w:r w:rsidRPr="00C530D6">
              <w:t>%)</w:t>
            </w:r>
          </w:p>
        </w:tc>
        <w:tc>
          <w:tcPr>
            <w:tcW w:w="943" w:type="dxa"/>
            <w:shd w:val="clear" w:color="auto" w:fill="auto"/>
            <w:vAlign w:val="center"/>
          </w:tcPr>
          <w:p w14:paraId="45518B14" w14:textId="34DF9465" w:rsidR="007575A9" w:rsidRPr="001559E2" w:rsidRDefault="0090680E" w:rsidP="006A687C">
            <w:pPr>
              <w:pStyle w:val="TableText"/>
              <w:keepNext/>
              <w:jc w:val="center"/>
            </w:pPr>
            <w:r w:rsidRPr="0090680E">
              <w:rPr>
                <w:b/>
                <w:bCs/>
              </w:rPr>
              <w:t>redacted</w:t>
            </w:r>
            <w:r w:rsidR="000906CF">
              <w:rPr>
                <w:vertAlign w:val="superscript"/>
              </w:rPr>
              <w:t>3</w:t>
            </w:r>
          </w:p>
        </w:tc>
        <w:tc>
          <w:tcPr>
            <w:tcW w:w="944" w:type="dxa"/>
            <w:shd w:val="clear" w:color="auto" w:fill="auto"/>
            <w:vAlign w:val="center"/>
          </w:tcPr>
          <w:p w14:paraId="645160DF" w14:textId="004CB525" w:rsidR="007575A9" w:rsidRPr="001559E2" w:rsidRDefault="0090680E" w:rsidP="006A687C">
            <w:pPr>
              <w:pStyle w:val="TableText"/>
              <w:keepNext/>
              <w:jc w:val="center"/>
            </w:pPr>
            <w:r w:rsidRPr="0090680E">
              <w:rPr>
                <w:b/>
                <w:bCs/>
              </w:rPr>
              <w:t>redacted</w:t>
            </w:r>
            <w:r w:rsidR="000906CF">
              <w:rPr>
                <w:vertAlign w:val="superscript"/>
              </w:rPr>
              <w:t>3</w:t>
            </w:r>
          </w:p>
        </w:tc>
        <w:tc>
          <w:tcPr>
            <w:tcW w:w="943" w:type="dxa"/>
            <w:shd w:val="clear" w:color="auto" w:fill="auto"/>
            <w:vAlign w:val="center"/>
          </w:tcPr>
          <w:p w14:paraId="20FE265A" w14:textId="19CE06BD" w:rsidR="007575A9" w:rsidRPr="001559E2" w:rsidRDefault="0090680E" w:rsidP="006A687C">
            <w:pPr>
              <w:pStyle w:val="TableText"/>
              <w:keepNext/>
              <w:jc w:val="center"/>
            </w:pPr>
            <w:r w:rsidRPr="0090680E">
              <w:rPr>
                <w:b/>
                <w:bCs/>
              </w:rPr>
              <w:t>redacted</w:t>
            </w:r>
            <w:r w:rsidR="000906CF">
              <w:rPr>
                <w:vertAlign w:val="superscript"/>
              </w:rPr>
              <w:t>3</w:t>
            </w:r>
          </w:p>
        </w:tc>
        <w:tc>
          <w:tcPr>
            <w:tcW w:w="944" w:type="dxa"/>
            <w:shd w:val="clear" w:color="auto" w:fill="auto"/>
            <w:vAlign w:val="center"/>
          </w:tcPr>
          <w:p w14:paraId="51120E48" w14:textId="0FE54047" w:rsidR="007575A9" w:rsidRPr="001559E2" w:rsidRDefault="0090680E" w:rsidP="006A687C">
            <w:pPr>
              <w:pStyle w:val="TableText"/>
              <w:keepNext/>
              <w:jc w:val="center"/>
            </w:pPr>
            <w:r w:rsidRPr="0090680E">
              <w:rPr>
                <w:b/>
                <w:bCs/>
              </w:rPr>
              <w:t>redacted</w:t>
            </w:r>
            <w:r w:rsidR="000906CF">
              <w:rPr>
                <w:vertAlign w:val="superscript"/>
              </w:rPr>
              <w:t>3</w:t>
            </w:r>
          </w:p>
        </w:tc>
        <w:tc>
          <w:tcPr>
            <w:tcW w:w="943" w:type="dxa"/>
            <w:shd w:val="clear" w:color="auto" w:fill="auto"/>
            <w:vAlign w:val="center"/>
          </w:tcPr>
          <w:p w14:paraId="3CBAB3DA" w14:textId="68DFADCD" w:rsidR="007575A9" w:rsidRPr="001559E2" w:rsidRDefault="0090680E" w:rsidP="006A687C">
            <w:pPr>
              <w:pStyle w:val="TableText"/>
              <w:keepNext/>
              <w:jc w:val="center"/>
            </w:pPr>
            <w:r w:rsidRPr="0090680E">
              <w:rPr>
                <w:b/>
                <w:bCs/>
              </w:rPr>
              <w:t>redacted</w:t>
            </w:r>
            <w:r w:rsidR="000906CF">
              <w:rPr>
                <w:vertAlign w:val="superscript"/>
              </w:rPr>
              <w:t>3</w:t>
            </w:r>
          </w:p>
        </w:tc>
        <w:tc>
          <w:tcPr>
            <w:tcW w:w="944" w:type="dxa"/>
            <w:shd w:val="clear" w:color="auto" w:fill="auto"/>
            <w:vAlign w:val="center"/>
          </w:tcPr>
          <w:p w14:paraId="619287E9" w14:textId="681B84D7" w:rsidR="007575A9" w:rsidRPr="001559E2" w:rsidRDefault="0090680E" w:rsidP="006A687C">
            <w:pPr>
              <w:pStyle w:val="TableText"/>
              <w:keepNext/>
              <w:jc w:val="center"/>
            </w:pPr>
            <w:r w:rsidRPr="0090680E">
              <w:rPr>
                <w:b/>
                <w:bCs/>
              </w:rPr>
              <w:t>redacted</w:t>
            </w:r>
            <w:r w:rsidR="000906CF">
              <w:rPr>
                <w:vertAlign w:val="superscript"/>
              </w:rPr>
              <w:t>3</w:t>
            </w:r>
          </w:p>
        </w:tc>
      </w:tr>
      <w:tr w:rsidR="00C567E7" w:rsidRPr="00C530D6" w14:paraId="2DBC1EED" w14:textId="77777777" w:rsidTr="0090680E">
        <w:tc>
          <w:tcPr>
            <w:tcW w:w="3158" w:type="dxa"/>
            <w:shd w:val="clear" w:color="auto" w:fill="auto"/>
          </w:tcPr>
          <w:p w14:paraId="19DD64F5" w14:textId="77777777" w:rsidR="007575A9" w:rsidRPr="00C530D6" w:rsidRDefault="007575A9" w:rsidP="006A687C">
            <w:pPr>
              <w:pStyle w:val="TableText"/>
              <w:keepNext/>
              <w:rPr>
                <w:b/>
                <w:bCs/>
              </w:rPr>
            </w:pPr>
            <w:r w:rsidRPr="00C530D6">
              <w:rPr>
                <w:b/>
              </w:rPr>
              <w:t>Total eligible HR+ HER2-negative patients</w:t>
            </w:r>
          </w:p>
        </w:tc>
        <w:tc>
          <w:tcPr>
            <w:tcW w:w="943" w:type="dxa"/>
            <w:shd w:val="clear" w:color="auto" w:fill="auto"/>
            <w:vAlign w:val="center"/>
          </w:tcPr>
          <w:p w14:paraId="5D76C49F" w14:textId="02C429B0" w:rsidR="007575A9" w:rsidRPr="001559E2" w:rsidRDefault="0090680E" w:rsidP="006A687C">
            <w:pPr>
              <w:pStyle w:val="TableText"/>
              <w:keepNext/>
              <w:jc w:val="center"/>
              <w:rPr>
                <w:b/>
                <w:bCs/>
              </w:rPr>
            </w:pPr>
            <w:r w:rsidRPr="0090680E">
              <w:rPr>
                <w:b/>
                <w:bCs/>
              </w:rPr>
              <w:t>redacted</w:t>
            </w:r>
            <w:r w:rsidR="000906CF">
              <w:rPr>
                <w:vertAlign w:val="superscript"/>
              </w:rPr>
              <w:t>3</w:t>
            </w:r>
          </w:p>
        </w:tc>
        <w:tc>
          <w:tcPr>
            <w:tcW w:w="944" w:type="dxa"/>
            <w:shd w:val="clear" w:color="auto" w:fill="auto"/>
            <w:vAlign w:val="center"/>
          </w:tcPr>
          <w:p w14:paraId="3061FBC1" w14:textId="3A8008E6" w:rsidR="007575A9" w:rsidRPr="001559E2" w:rsidRDefault="0090680E" w:rsidP="006A687C">
            <w:pPr>
              <w:pStyle w:val="TableText"/>
              <w:keepNext/>
              <w:jc w:val="center"/>
              <w:rPr>
                <w:b/>
                <w:bCs/>
              </w:rPr>
            </w:pPr>
            <w:r w:rsidRPr="0090680E">
              <w:rPr>
                <w:b/>
                <w:bCs/>
              </w:rPr>
              <w:t>redacted</w:t>
            </w:r>
            <w:r w:rsidR="000906CF">
              <w:rPr>
                <w:vertAlign w:val="superscript"/>
              </w:rPr>
              <w:t>3</w:t>
            </w:r>
          </w:p>
        </w:tc>
        <w:tc>
          <w:tcPr>
            <w:tcW w:w="943" w:type="dxa"/>
            <w:shd w:val="clear" w:color="auto" w:fill="auto"/>
            <w:vAlign w:val="center"/>
          </w:tcPr>
          <w:p w14:paraId="3A03D57C" w14:textId="5CE22FBB" w:rsidR="007575A9" w:rsidRPr="001559E2" w:rsidRDefault="0090680E" w:rsidP="006A687C">
            <w:pPr>
              <w:pStyle w:val="TableText"/>
              <w:keepNext/>
              <w:jc w:val="center"/>
              <w:rPr>
                <w:b/>
                <w:bCs/>
              </w:rPr>
            </w:pPr>
            <w:r w:rsidRPr="0090680E">
              <w:rPr>
                <w:b/>
                <w:bCs/>
              </w:rPr>
              <w:t>redacted</w:t>
            </w:r>
            <w:r w:rsidR="000906CF">
              <w:rPr>
                <w:vertAlign w:val="superscript"/>
              </w:rPr>
              <w:t>3</w:t>
            </w:r>
          </w:p>
        </w:tc>
        <w:tc>
          <w:tcPr>
            <w:tcW w:w="944" w:type="dxa"/>
            <w:shd w:val="clear" w:color="auto" w:fill="auto"/>
            <w:vAlign w:val="center"/>
          </w:tcPr>
          <w:p w14:paraId="4021BCA1" w14:textId="6C4DF10C" w:rsidR="007575A9" w:rsidRPr="001559E2" w:rsidRDefault="0090680E" w:rsidP="006A687C">
            <w:pPr>
              <w:pStyle w:val="TableText"/>
              <w:keepNext/>
              <w:jc w:val="center"/>
              <w:rPr>
                <w:b/>
                <w:bCs/>
              </w:rPr>
            </w:pPr>
            <w:r w:rsidRPr="0090680E">
              <w:rPr>
                <w:b/>
                <w:bCs/>
              </w:rPr>
              <w:t>redacted</w:t>
            </w:r>
            <w:r w:rsidR="000906CF">
              <w:rPr>
                <w:vertAlign w:val="superscript"/>
              </w:rPr>
              <w:t>3</w:t>
            </w:r>
          </w:p>
        </w:tc>
        <w:tc>
          <w:tcPr>
            <w:tcW w:w="943" w:type="dxa"/>
            <w:shd w:val="clear" w:color="auto" w:fill="auto"/>
            <w:vAlign w:val="center"/>
          </w:tcPr>
          <w:p w14:paraId="694E4A5F" w14:textId="05254A94" w:rsidR="007575A9" w:rsidRPr="001559E2" w:rsidRDefault="0090680E" w:rsidP="006A687C">
            <w:pPr>
              <w:pStyle w:val="TableText"/>
              <w:keepNext/>
              <w:jc w:val="center"/>
              <w:rPr>
                <w:b/>
                <w:bCs/>
              </w:rPr>
            </w:pPr>
            <w:r w:rsidRPr="0090680E">
              <w:rPr>
                <w:b/>
                <w:bCs/>
              </w:rPr>
              <w:t>redacted</w:t>
            </w:r>
            <w:r w:rsidR="000906CF">
              <w:rPr>
                <w:vertAlign w:val="superscript"/>
              </w:rPr>
              <w:t>3</w:t>
            </w:r>
          </w:p>
        </w:tc>
        <w:tc>
          <w:tcPr>
            <w:tcW w:w="944" w:type="dxa"/>
            <w:shd w:val="clear" w:color="auto" w:fill="auto"/>
            <w:vAlign w:val="center"/>
          </w:tcPr>
          <w:p w14:paraId="7B880F33" w14:textId="02AAD4EE" w:rsidR="007575A9" w:rsidRPr="001559E2" w:rsidRDefault="0090680E" w:rsidP="006A687C">
            <w:pPr>
              <w:pStyle w:val="TableText"/>
              <w:keepNext/>
              <w:jc w:val="center"/>
              <w:rPr>
                <w:b/>
                <w:bCs/>
              </w:rPr>
            </w:pPr>
            <w:r w:rsidRPr="0090680E">
              <w:rPr>
                <w:b/>
                <w:bCs/>
              </w:rPr>
              <w:t>redacted</w:t>
            </w:r>
            <w:r w:rsidR="000906CF">
              <w:rPr>
                <w:vertAlign w:val="superscript"/>
              </w:rPr>
              <w:t>3</w:t>
            </w:r>
          </w:p>
        </w:tc>
      </w:tr>
      <w:tr w:rsidR="00C567E7" w:rsidRPr="003069F5" w14:paraId="39FD8EBB" w14:textId="77777777" w:rsidTr="0090680E">
        <w:tc>
          <w:tcPr>
            <w:tcW w:w="3158" w:type="dxa"/>
            <w:shd w:val="clear" w:color="auto" w:fill="auto"/>
          </w:tcPr>
          <w:p w14:paraId="24FB2644" w14:textId="77777777" w:rsidR="007575A9" w:rsidRPr="00C530D6" w:rsidRDefault="007575A9" w:rsidP="006A687C">
            <w:pPr>
              <w:pStyle w:val="TableText"/>
              <w:keepNext/>
              <w:rPr>
                <w:b/>
                <w:bCs/>
              </w:rPr>
            </w:pPr>
            <w:r w:rsidRPr="00C530D6">
              <w:rPr>
                <w:b/>
              </w:rPr>
              <w:t>Total patients eligible for olaparib</w:t>
            </w:r>
          </w:p>
        </w:tc>
        <w:tc>
          <w:tcPr>
            <w:tcW w:w="943" w:type="dxa"/>
            <w:shd w:val="clear" w:color="auto" w:fill="auto"/>
          </w:tcPr>
          <w:p w14:paraId="51F7D312" w14:textId="6EB754AC" w:rsidR="007575A9" w:rsidRPr="001559E2" w:rsidRDefault="0090680E" w:rsidP="006A687C">
            <w:pPr>
              <w:pStyle w:val="TableText"/>
              <w:keepNext/>
              <w:jc w:val="center"/>
              <w:rPr>
                <w:b/>
                <w:bCs/>
              </w:rPr>
            </w:pPr>
            <w:r w:rsidRPr="0090680E">
              <w:rPr>
                <w:b/>
                <w:bCs/>
              </w:rPr>
              <w:t>redacted</w:t>
            </w:r>
            <w:r w:rsidR="000906CF">
              <w:rPr>
                <w:vertAlign w:val="superscript"/>
              </w:rPr>
              <w:t>3</w:t>
            </w:r>
            <w:r w:rsidR="007575A9" w:rsidRPr="001559E2">
              <w:t xml:space="preserve"> </w:t>
            </w:r>
          </w:p>
        </w:tc>
        <w:tc>
          <w:tcPr>
            <w:tcW w:w="944" w:type="dxa"/>
            <w:shd w:val="clear" w:color="auto" w:fill="auto"/>
          </w:tcPr>
          <w:p w14:paraId="2B69479C" w14:textId="0A383CC2" w:rsidR="007575A9" w:rsidRPr="001559E2" w:rsidRDefault="0090680E" w:rsidP="00C567E7">
            <w:pPr>
              <w:pStyle w:val="TableText"/>
              <w:keepNext/>
              <w:jc w:val="center"/>
              <w:rPr>
                <w:b/>
                <w:bCs/>
              </w:rPr>
            </w:pPr>
            <w:r w:rsidRPr="0090680E">
              <w:rPr>
                <w:b/>
                <w:bCs/>
              </w:rPr>
              <w:t>redacted</w:t>
            </w:r>
            <w:r w:rsidR="000906CF">
              <w:rPr>
                <w:vertAlign w:val="superscript"/>
              </w:rPr>
              <w:t>3</w:t>
            </w:r>
          </w:p>
        </w:tc>
        <w:tc>
          <w:tcPr>
            <w:tcW w:w="943" w:type="dxa"/>
            <w:shd w:val="clear" w:color="auto" w:fill="auto"/>
          </w:tcPr>
          <w:p w14:paraId="00ECFEFF" w14:textId="2A7F82AB" w:rsidR="007575A9" w:rsidRPr="001559E2" w:rsidRDefault="0090680E" w:rsidP="006A687C">
            <w:pPr>
              <w:pStyle w:val="TableText"/>
              <w:keepNext/>
              <w:jc w:val="center"/>
              <w:rPr>
                <w:b/>
                <w:bCs/>
              </w:rPr>
            </w:pPr>
            <w:r w:rsidRPr="0090680E">
              <w:rPr>
                <w:b/>
                <w:bCs/>
              </w:rPr>
              <w:t>redacted</w:t>
            </w:r>
            <w:r w:rsidR="000906CF">
              <w:rPr>
                <w:vertAlign w:val="superscript"/>
              </w:rPr>
              <w:t>3</w:t>
            </w:r>
            <w:r w:rsidR="007575A9" w:rsidRPr="001559E2">
              <w:t xml:space="preserve"> </w:t>
            </w:r>
          </w:p>
        </w:tc>
        <w:tc>
          <w:tcPr>
            <w:tcW w:w="944" w:type="dxa"/>
            <w:shd w:val="clear" w:color="auto" w:fill="auto"/>
          </w:tcPr>
          <w:p w14:paraId="1EFF2F84" w14:textId="78C4A9B1" w:rsidR="007575A9" w:rsidRPr="001559E2" w:rsidRDefault="0090680E" w:rsidP="006A687C">
            <w:pPr>
              <w:pStyle w:val="TableText"/>
              <w:keepNext/>
              <w:jc w:val="center"/>
              <w:rPr>
                <w:b/>
                <w:bCs/>
              </w:rPr>
            </w:pPr>
            <w:r w:rsidRPr="0090680E">
              <w:rPr>
                <w:b/>
                <w:bCs/>
              </w:rPr>
              <w:t>redacted</w:t>
            </w:r>
            <w:r w:rsidR="000906CF">
              <w:rPr>
                <w:vertAlign w:val="superscript"/>
              </w:rPr>
              <w:t>3</w:t>
            </w:r>
            <w:r w:rsidR="007575A9" w:rsidRPr="001559E2">
              <w:t xml:space="preserve"> </w:t>
            </w:r>
          </w:p>
        </w:tc>
        <w:tc>
          <w:tcPr>
            <w:tcW w:w="943" w:type="dxa"/>
            <w:shd w:val="clear" w:color="auto" w:fill="auto"/>
          </w:tcPr>
          <w:p w14:paraId="3ECE9B3E" w14:textId="2BAEE7C2" w:rsidR="007575A9" w:rsidRPr="001559E2" w:rsidRDefault="0090680E" w:rsidP="006A687C">
            <w:pPr>
              <w:pStyle w:val="TableText"/>
              <w:keepNext/>
              <w:jc w:val="center"/>
              <w:rPr>
                <w:b/>
                <w:bCs/>
              </w:rPr>
            </w:pPr>
            <w:r w:rsidRPr="0090680E">
              <w:rPr>
                <w:b/>
                <w:bCs/>
              </w:rPr>
              <w:t>redacted</w:t>
            </w:r>
            <w:r w:rsidR="000906CF">
              <w:rPr>
                <w:vertAlign w:val="superscript"/>
              </w:rPr>
              <w:t>3</w:t>
            </w:r>
            <w:r w:rsidR="007575A9" w:rsidRPr="001559E2">
              <w:t xml:space="preserve"> </w:t>
            </w:r>
          </w:p>
        </w:tc>
        <w:tc>
          <w:tcPr>
            <w:tcW w:w="944" w:type="dxa"/>
            <w:shd w:val="clear" w:color="auto" w:fill="auto"/>
          </w:tcPr>
          <w:p w14:paraId="17267906" w14:textId="6FFDCC13" w:rsidR="007575A9" w:rsidRPr="001559E2" w:rsidRDefault="0090680E" w:rsidP="006A687C">
            <w:pPr>
              <w:pStyle w:val="TableText"/>
              <w:keepNext/>
              <w:jc w:val="center"/>
              <w:rPr>
                <w:b/>
                <w:bCs/>
              </w:rPr>
            </w:pPr>
            <w:r w:rsidRPr="0090680E">
              <w:rPr>
                <w:b/>
                <w:bCs/>
              </w:rPr>
              <w:t>redacted</w:t>
            </w:r>
            <w:r w:rsidR="000906CF">
              <w:rPr>
                <w:vertAlign w:val="superscript"/>
              </w:rPr>
              <w:t>3</w:t>
            </w:r>
            <w:r w:rsidR="007575A9" w:rsidRPr="001559E2">
              <w:t xml:space="preserve"> </w:t>
            </w:r>
          </w:p>
        </w:tc>
      </w:tr>
    </w:tbl>
    <w:p w14:paraId="4F597493" w14:textId="77777777" w:rsidR="007575A9" w:rsidRPr="00896487" w:rsidRDefault="007575A9" w:rsidP="006A687C">
      <w:pPr>
        <w:pStyle w:val="TableText"/>
        <w:keepNext/>
        <w:rPr>
          <w:sz w:val="18"/>
          <w:szCs w:val="20"/>
        </w:rPr>
      </w:pPr>
      <w:r w:rsidRPr="00896487">
        <w:rPr>
          <w:sz w:val="18"/>
          <w:szCs w:val="20"/>
        </w:rPr>
        <w:t>Source: Tables 4.2-4.10, pp159-164 of the submission, Table 4.22 and 4.23, pp171-172 of the submission and attached financial spreadsheet.</w:t>
      </w:r>
    </w:p>
    <w:p w14:paraId="35DA00AC" w14:textId="77777777" w:rsidR="007575A9" w:rsidRPr="00896487" w:rsidRDefault="007575A9" w:rsidP="006A687C">
      <w:pPr>
        <w:pStyle w:val="TableText"/>
        <w:keepNext/>
        <w:rPr>
          <w:sz w:val="18"/>
          <w:szCs w:val="20"/>
        </w:rPr>
      </w:pPr>
      <w:r w:rsidRPr="00896487">
        <w:rPr>
          <w:sz w:val="18"/>
          <w:szCs w:val="20"/>
        </w:rPr>
        <w:t>DUSC = drug utilisation Sub Committee; HER2-negative = human epidermal growth factor receptor negative; HR + = hormone receptor positive; TNBC = triple negative breast cancer</w:t>
      </w:r>
    </w:p>
    <w:p w14:paraId="07589517" w14:textId="71C6C3D2" w:rsidR="007575A9" w:rsidRPr="00896487" w:rsidRDefault="007575A9" w:rsidP="006A687C">
      <w:pPr>
        <w:pStyle w:val="TableText"/>
        <w:keepNext/>
        <w:tabs>
          <w:tab w:val="left" w:pos="284"/>
        </w:tabs>
        <w:ind w:left="284" w:hanging="284"/>
        <w:rPr>
          <w:sz w:val="18"/>
          <w:szCs w:val="20"/>
        </w:rPr>
      </w:pPr>
      <w:r w:rsidRPr="00896487">
        <w:rPr>
          <w:sz w:val="18"/>
          <w:szCs w:val="20"/>
          <w:vertAlign w:val="superscript"/>
        </w:rPr>
        <w:t xml:space="preserve">a </w:t>
      </w:r>
      <w:r w:rsidR="00196D0F" w:rsidRPr="00896487">
        <w:rPr>
          <w:sz w:val="18"/>
          <w:szCs w:val="20"/>
          <w:vertAlign w:val="superscript"/>
        </w:rPr>
        <w:tab/>
      </w:r>
      <w:r w:rsidRPr="00896487">
        <w:rPr>
          <w:sz w:val="18"/>
          <w:szCs w:val="20"/>
        </w:rPr>
        <w:t xml:space="preserve">The submission presented an estimate of </w:t>
      </w:r>
      <w:r w:rsidR="00B07D82" w:rsidRPr="00B07D82">
        <w:rPr>
          <w:sz w:val="18"/>
          <w:szCs w:val="20"/>
        </w:rPr>
        <w:t>&lt; 500</w:t>
      </w:r>
      <w:r w:rsidRPr="00896487">
        <w:rPr>
          <w:sz w:val="18"/>
          <w:szCs w:val="20"/>
        </w:rPr>
        <w:t xml:space="preserve"> which was inconsistent with estimates in the financial spreadsheet and testing considerations in Section 4.5</w:t>
      </w:r>
      <w:r w:rsidR="002B5BC0" w:rsidRPr="00896487">
        <w:rPr>
          <w:sz w:val="18"/>
          <w:szCs w:val="20"/>
        </w:rPr>
        <w:t xml:space="preserve"> of the submission</w:t>
      </w:r>
      <w:r w:rsidRPr="00896487">
        <w:rPr>
          <w:sz w:val="18"/>
          <w:szCs w:val="20"/>
        </w:rPr>
        <w:t>.</w:t>
      </w:r>
    </w:p>
    <w:p w14:paraId="6C5C3538" w14:textId="24962117" w:rsidR="007575A9" w:rsidRPr="00896487" w:rsidRDefault="007575A9" w:rsidP="006A687C">
      <w:pPr>
        <w:pStyle w:val="TableText"/>
        <w:keepNext/>
        <w:tabs>
          <w:tab w:val="left" w:pos="284"/>
        </w:tabs>
        <w:ind w:left="284" w:hanging="284"/>
        <w:rPr>
          <w:sz w:val="18"/>
          <w:szCs w:val="20"/>
        </w:rPr>
      </w:pPr>
      <w:r w:rsidRPr="00896487">
        <w:rPr>
          <w:sz w:val="18"/>
          <w:szCs w:val="20"/>
          <w:vertAlign w:val="superscript"/>
        </w:rPr>
        <w:t>b</w:t>
      </w:r>
      <w:r w:rsidR="00196D0F" w:rsidRPr="00896487">
        <w:rPr>
          <w:sz w:val="18"/>
          <w:szCs w:val="20"/>
          <w:vertAlign w:val="superscript"/>
        </w:rPr>
        <w:tab/>
      </w:r>
      <w:r w:rsidRPr="00896487">
        <w:rPr>
          <w:sz w:val="18"/>
          <w:szCs w:val="20"/>
        </w:rPr>
        <w:t xml:space="preserve">The submission presented an estimate </w:t>
      </w:r>
      <w:r w:rsidRPr="00F335E3">
        <w:rPr>
          <w:sz w:val="18"/>
          <w:szCs w:val="20"/>
        </w:rPr>
        <w:t xml:space="preserve">of </w:t>
      </w:r>
      <w:r w:rsidR="00B07D82" w:rsidRPr="0090680E">
        <w:rPr>
          <w:sz w:val="18"/>
          <w:szCs w:val="20"/>
        </w:rPr>
        <w:t>500 to &lt; 5,000</w:t>
      </w:r>
      <w:r w:rsidR="00F335E3">
        <w:rPr>
          <w:sz w:val="18"/>
          <w:szCs w:val="20"/>
        </w:rPr>
        <w:t xml:space="preserve"> </w:t>
      </w:r>
      <w:r w:rsidRPr="00F335E3">
        <w:rPr>
          <w:sz w:val="18"/>
          <w:szCs w:val="20"/>
        </w:rPr>
        <w:t>which</w:t>
      </w:r>
      <w:r w:rsidRPr="00896487">
        <w:rPr>
          <w:sz w:val="18"/>
          <w:szCs w:val="20"/>
        </w:rPr>
        <w:t xml:space="preserve"> was inconsistent with estimates in the financial spreadsheet and testing considerations in Section 4.5</w:t>
      </w:r>
      <w:r w:rsidR="002B5BC0" w:rsidRPr="00896487">
        <w:rPr>
          <w:sz w:val="18"/>
          <w:szCs w:val="20"/>
        </w:rPr>
        <w:t xml:space="preserve"> of the submission</w:t>
      </w:r>
      <w:r w:rsidRPr="00896487">
        <w:rPr>
          <w:sz w:val="18"/>
          <w:szCs w:val="20"/>
        </w:rPr>
        <w:t>.</w:t>
      </w:r>
    </w:p>
    <w:p w14:paraId="2872A972" w14:textId="0D8A23AD" w:rsidR="007575A9" w:rsidRDefault="007575A9" w:rsidP="006A687C">
      <w:pPr>
        <w:pStyle w:val="TableText"/>
        <w:keepNext/>
        <w:tabs>
          <w:tab w:val="left" w:pos="284"/>
        </w:tabs>
        <w:ind w:left="284" w:hanging="284"/>
        <w:rPr>
          <w:sz w:val="18"/>
          <w:szCs w:val="20"/>
        </w:rPr>
      </w:pPr>
      <w:r w:rsidRPr="00896487">
        <w:rPr>
          <w:sz w:val="18"/>
          <w:szCs w:val="20"/>
          <w:vertAlign w:val="superscript"/>
        </w:rPr>
        <w:t xml:space="preserve">c </w:t>
      </w:r>
      <w:r w:rsidR="00196D0F" w:rsidRPr="00896487">
        <w:rPr>
          <w:sz w:val="18"/>
          <w:szCs w:val="20"/>
          <w:vertAlign w:val="superscript"/>
        </w:rPr>
        <w:tab/>
      </w:r>
      <w:r w:rsidRPr="00896487">
        <w:rPr>
          <w:sz w:val="18"/>
          <w:szCs w:val="20"/>
        </w:rPr>
        <w:t xml:space="preserve">The submission presented an estimate of </w:t>
      </w:r>
      <w:r w:rsidR="00B07D82" w:rsidRPr="0090680E">
        <w:rPr>
          <w:sz w:val="18"/>
          <w:szCs w:val="20"/>
        </w:rPr>
        <w:t>500 to &lt; 5,000</w:t>
      </w:r>
      <w:r w:rsidR="00F335E3">
        <w:rPr>
          <w:sz w:val="18"/>
          <w:szCs w:val="20"/>
        </w:rPr>
        <w:t xml:space="preserve"> </w:t>
      </w:r>
      <w:r w:rsidRPr="00F335E3">
        <w:rPr>
          <w:sz w:val="18"/>
          <w:szCs w:val="20"/>
        </w:rPr>
        <w:t>which</w:t>
      </w:r>
      <w:r w:rsidRPr="00896487">
        <w:rPr>
          <w:sz w:val="18"/>
          <w:szCs w:val="20"/>
        </w:rPr>
        <w:t xml:space="preserve"> was inconsistent with estimates in the financial spreadsheet and testing considerations in Section 4.5</w:t>
      </w:r>
      <w:r w:rsidR="002B5BC0" w:rsidRPr="00896487">
        <w:rPr>
          <w:sz w:val="18"/>
          <w:szCs w:val="20"/>
        </w:rPr>
        <w:t xml:space="preserve"> of the submission</w:t>
      </w:r>
      <w:r w:rsidRPr="00896487">
        <w:rPr>
          <w:sz w:val="18"/>
          <w:szCs w:val="20"/>
        </w:rPr>
        <w:t>.</w:t>
      </w:r>
    </w:p>
    <w:p w14:paraId="67A047AC" w14:textId="768AE37E" w:rsidR="00A34AAA" w:rsidRPr="003B3240" w:rsidRDefault="00A34AAA" w:rsidP="0090680E">
      <w:pPr>
        <w:pStyle w:val="FooterTableFigure"/>
        <w:keepNext/>
        <w:keepLines/>
        <w:spacing w:after="0"/>
        <w:rPr>
          <w:i/>
          <w:iCs/>
        </w:rPr>
      </w:pPr>
      <w:r w:rsidRPr="003B3240">
        <w:rPr>
          <w:i/>
          <w:iCs/>
        </w:rPr>
        <w:t xml:space="preserve">The </w:t>
      </w:r>
      <w:r w:rsidR="0090680E" w:rsidRPr="0090680E">
        <w:rPr>
          <w:b/>
          <w:bCs/>
          <w:i/>
          <w:iCs/>
        </w:rPr>
        <w:t>redacted</w:t>
      </w:r>
      <w:r w:rsidRPr="003B3240">
        <w:rPr>
          <w:i/>
          <w:iCs/>
        </w:rPr>
        <w:t xml:space="preserve"> values correspond to the following ranges</w:t>
      </w:r>
    </w:p>
    <w:p w14:paraId="4E372493" w14:textId="77777777" w:rsidR="00CF1E36" w:rsidRDefault="00E14F3D" w:rsidP="00CF1E36">
      <w:pPr>
        <w:pStyle w:val="TableText"/>
        <w:keepNext/>
        <w:tabs>
          <w:tab w:val="left" w:pos="284"/>
        </w:tabs>
        <w:spacing w:after="0"/>
        <w:ind w:left="284" w:hanging="284"/>
        <w:rPr>
          <w:i/>
          <w:iCs/>
          <w:sz w:val="18"/>
          <w:szCs w:val="20"/>
        </w:rPr>
      </w:pPr>
      <w:r w:rsidRPr="0090680E">
        <w:rPr>
          <w:i/>
          <w:iCs/>
          <w:sz w:val="18"/>
          <w:szCs w:val="20"/>
          <w:vertAlign w:val="superscript"/>
        </w:rPr>
        <w:t>1</w:t>
      </w:r>
      <w:r w:rsidR="001F4E13" w:rsidRPr="0090680E">
        <w:rPr>
          <w:i/>
          <w:iCs/>
          <w:sz w:val="18"/>
          <w:szCs w:val="20"/>
        </w:rPr>
        <w:t>20,000 to &lt; 30,000</w:t>
      </w:r>
    </w:p>
    <w:p w14:paraId="060D2556" w14:textId="60A8FE78" w:rsidR="001F4E13" w:rsidRPr="0090680E" w:rsidRDefault="001F4E13" w:rsidP="0090680E">
      <w:pPr>
        <w:pStyle w:val="TableText"/>
        <w:keepNext/>
        <w:tabs>
          <w:tab w:val="left" w:pos="284"/>
        </w:tabs>
        <w:spacing w:after="0"/>
        <w:ind w:left="284" w:hanging="284"/>
        <w:rPr>
          <w:i/>
          <w:iCs/>
          <w:sz w:val="18"/>
          <w:szCs w:val="20"/>
        </w:rPr>
      </w:pPr>
      <w:r w:rsidRPr="0090680E">
        <w:rPr>
          <w:i/>
          <w:iCs/>
          <w:sz w:val="18"/>
          <w:szCs w:val="20"/>
          <w:vertAlign w:val="superscript"/>
        </w:rPr>
        <w:t>2</w:t>
      </w:r>
      <w:r w:rsidRPr="0090680E">
        <w:rPr>
          <w:i/>
          <w:iCs/>
          <w:sz w:val="18"/>
          <w:szCs w:val="20"/>
        </w:rPr>
        <w:t xml:space="preserve"> 500 to &lt; 5,000</w:t>
      </w:r>
    </w:p>
    <w:p w14:paraId="415E1B0D" w14:textId="77777777" w:rsidR="001F4E13" w:rsidRPr="0090680E" w:rsidRDefault="001F4E13" w:rsidP="0090680E">
      <w:pPr>
        <w:pStyle w:val="TableText"/>
        <w:keepNext/>
        <w:tabs>
          <w:tab w:val="left" w:pos="284"/>
        </w:tabs>
        <w:spacing w:after="0"/>
        <w:ind w:left="284" w:hanging="284"/>
        <w:rPr>
          <w:i/>
          <w:iCs/>
          <w:sz w:val="18"/>
          <w:szCs w:val="20"/>
        </w:rPr>
      </w:pPr>
      <w:r w:rsidRPr="0090680E">
        <w:rPr>
          <w:i/>
          <w:iCs/>
          <w:sz w:val="18"/>
          <w:szCs w:val="20"/>
          <w:vertAlign w:val="superscript"/>
        </w:rPr>
        <w:t>3</w:t>
      </w:r>
      <w:r w:rsidRPr="0090680E">
        <w:rPr>
          <w:i/>
          <w:iCs/>
          <w:sz w:val="18"/>
          <w:szCs w:val="20"/>
        </w:rPr>
        <w:t xml:space="preserve"> &lt; 500</w:t>
      </w:r>
    </w:p>
    <w:bookmarkEnd w:id="48"/>
    <w:p w14:paraId="53C8A8F8" w14:textId="587590D4" w:rsidR="006A6A16" w:rsidRPr="007575A9" w:rsidRDefault="00756109" w:rsidP="007575A9">
      <w:r w:rsidRPr="00756109">
        <w:lastRenderedPageBreak/>
        <w:fldChar w:fldCharType="begin"/>
      </w:r>
      <w:r w:rsidRPr="00756109">
        <w:instrText xml:space="preserve"> REF _Ref165479405 \h </w:instrText>
      </w:r>
      <w:r>
        <w:instrText xml:space="preserve"> \* MERGEFORMAT </w:instrText>
      </w:r>
      <w:r w:rsidRPr="00756109">
        <w:fldChar w:fldCharType="separate"/>
      </w:r>
      <w:r w:rsidR="00325DE1" w:rsidRPr="009B0C25">
        <w:rPr>
          <w:rStyle w:val="CommentReference"/>
          <w:sz w:val="22"/>
          <w:szCs w:val="22"/>
        </w:rPr>
        <w:t xml:space="preserve">Table </w:t>
      </w:r>
      <w:r w:rsidR="00325DE1" w:rsidRPr="009B0C25">
        <w:rPr>
          <w:rStyle w:val="CommentReference"/>
          <w:noProof/>
          <w:sz w:val="22"/>
          <w:szCs w:val="22"/>
        </w:rPr>
        <w:t>16</w:t>
      </w:r>
      <w:r w:rsidRPr="00756109">
        <w:fldChar w:fldCharType="end"/>
      </w:r>
      <w:r w:rsidRPr="00756109">
        <w:t xml:space="preserve"> </w:t>
      </w:r>
      <w:r w:rsidR="007575A9" w:rsidRPr="00756109">
        <w:t xml:space="preserve">presents the estimated number of new </w:t>
      </w:r>
      <w:r w:rsidR="007575A9" w:rsidRPr="00756109">
        <w:rPr>
          <w:i/>
          <w:iCs/>
        </w:rPr>
        <w:t>BRCA</w:t>
      </w:r>
      <w:r w:rsidR="007575A9" w:rsidRPr="00756109">
        <w:t xml:space="preserve"> tests required as a result of the proposed listing, which ranged from </w:t>
      </w:r>
      <w:r w:rsidR="003B7195">
        <w:t>500 to &lt; 5,000</w:t>
      </w:r>
      <w:r w:rsidR="006E34F9">
        <w:t xml:space="preserve"> </w:t>
      </w:r>
      <w:r w:rsidR="007575A9" w:rsidRPr="00756109">
        <w:t xml:space="preserve">in Year 1 to </w:t>
      </w:r>
      <w:r w:rsidR="003B7195">
        <w:t>500 to &lt; 5,000</w:t>
      </w:r>
      <w:r w:rsidR="006E34F9">
        <w:t xml:space="preserve"> </w:t>
      </w:r>
      <w:r w:rsidR="007575A9" w:rsidRPr="00756109">
        <w:t>in Year 6. The submission estimated that an increasing proportion</w:t>
      </w:r>
      <w:r w:rsidR="007575A9" w:rsidRPr="007575A9">
        <w:t xml:space="preserve"> of recurrent patients would already know their </w:t>
      </w:r>
      <w:r w:rsidR="007575A9" w:rsidRPr="0066027B">
        <w:rPr>
          <w:i/>
          <w:iCs/>
        </w:rPr>
        <w:t>BRCA</w:t>
      </w:r>
      <w:r w:rsidR="007575A9" w:rsidRPr="007575A9">
        <w:t xml:space="preserve"> status from testing in eBC, and would not require testing after diagnosis of mBC. For the TNBC population, the submission stated that recurrence from eBC usually occurs within the first three years (Soares 2021) and estimated that an increasing proportion of the recurrent TNBC population would already know their </w:t>
      </w:r>
      <w:r w:rsidR="007575A9" w:rsidRPr="0066027B">
        <w:rPr>
          <w:i/>
          <w:iCs/>
        </w:rPr>
        <w:t xml:space="preserve">BRCA </w:t>
      </w:r>
      <w:r w:rsidR="007575A9" w:rsidRPr="007575A9">
        <w:t xml:space="preserve">status at diagnosis of mBC (from </w:t>
      </w:r>
      <w:r w:rsidR="0090680E" w:rsidRPr="0090680E">
        <w:rPr>
          <w:b/>
          <w:bCs/>
        </w:rPr>
        <w:t>redacted</w:t>
      </w:r>
      <w:r w:rsidR="007575A9" w:rsidRPr="00D15372">
        <w:t xml:space="preserve">% in Year 1 to </w:t>
      </w:r>
      <w:r w:rsidR="0090680E" w:rsidRPr="0090680E">
        <w:rPr>
          <w:b/>
          <w:bCs/>
        </w:rPr>
        <w:t>redacted</w:t>
      </w:r>
      <w:r w:rsidR="007575A9" w:rsidRPr="00D15372">
        <w:t xml:space="preserve">% in Years 5 and 6). This reduced the estimated number of new </w:t>
      </w:r>
      <w:r w:rsidR="007575A9" w:rsidRPr="00D15372">
        <w:rPr>
          <w:i/>
          <w:iCs/>
        </w:rPr>
        <w:t>BRCA</w:t>
      </w:r>
      <w:r w:rsidR="007575A9" w:rsidRPr="00D15372">
        <w:t xml:space="preserve"> tests by up to </w:t>
      </w:r>
      <w:r w:rsidR="00CC788B" w:rsidRPr="00D15372">
        <w:t>500 to &lt; 5,000</w:t>
      </w:r>
      <w:r w:rsidR="00B05094">
        <w:t xml:space="preserve"> </w:t>
      </w:r>
      <w:r w:rsidR="007575A9" w:rsidRPr="00D15372">
        <w:t>tests</w:t>
      </w:r>
      <w:r w:rsidR="007575A9" w:rsidRPr="007575A9">
        <w:t xml:space="preserve"> per year. For the HER2-negative/HR+ population, the submission stated that recurrence from eBC for patients with a known </w:t>
      </w:r>
      <w:r w:rsidR="007575A9" w:rsidRPr="0066027B">
        <w:rPr>
          <w:i/>
          <w:iCs/>
        </w:rPr>
        <w:t xml:space="preserve">BRCA </w:t>
      </w:r>
      <w:r w:rsidR="007575A9" w:rsidRPr="007575A9">
        <w:t xml:space="preserve">status was not expected within the 6-year time horizon, given HER2-/HR+ patients commonly have recurrence after 5 years and will spend approximately 2 years on CDK4/6 inhibitors. Therefore, the submission assumed a declining rate of new </w:t>
      </w:r>
      <w:r w:rsidR="007575A9" w:rsidRPr="0066027B">
        <w:rPr>
          <w:i/>
          <w:iCs/>
        </w:rPr>
        <w:t>BRCA</w:t>
      </w:r>
      <w:r w:rsidR="007575A9" w:rsidRPr="007575A9">
        <w:t xml:space="preserve"> tests performed after mBC diagnosis in the TNBC population (proportion decreases from </w:t>
      </w:r>
      <w:r w:rsidR="0090680E" w:rsidRPr="0090680E">
        <w:rPr>
          <w:b/>
          <w:bCs/>
        </w:rPr>
        <w:t>redacted</w:t>
      </w:r>
      <w:r w:rsidR="007575A9" w:rsidRPr="00D15372">
        <w:t xml:space="preserve">% in Year 1 to </w:t>
      </w:r>
      <w:r w:rsidR="0090680E" w:rsidRPr="0090680E">
        <w:rPr>
          <w:b/>
          <w:bCs/>
        </w:rPr>
        <w:t>redacted</w:t>
      </w:r>
      <w:r w:rsidR="007575A9" w:rsidRPr="00D15372">
        <w:t xml:space="preserve">% in Years 5 and 6), but not for the HER2-/HR+ population (proportion increases from </w:t>
      </w:r>
      <w:r w:rsidR="0090680E" w:rsidRPr="0090680E">
        <w:rPr>
          <w:b/>
          <w:bCs/>
        </w:rPr>
        <w:t>redacted</w:t>
      </w:r>
      <w:r w:rsidR="007575A9" w:rsidRPr="00D15372">
        <w:t xml:space="preserve">% in Year 1 to </w:t>
      </w:r>
      <w:r w:rsidR="0090680E" w:rsidRPr="0090680E">
        <w:rPr>
          <w:b/>
          <w:bCs/>
        </w:rPr>
        <w:t>redacted</w:t>
      </w:r>
      <w:r w:rsidR="007575A9" w:rsidRPr="00D15372">
        <w:t>% testing in mBC from Year 4 onwards</w:t>
      </w:r>
      <w:r w:rsidR="007575A9" w:rsidRPr="007575A9">
        <w:t>).</w:t>
      </w:r>
    </w:p>
    <w:p w14:paraId="7E5C7F38" w14:textId="2F5E1763" w:rsidR="007575A9" w:rsidRPr="004D70F4" w:rsidRDefault="00C811C0" w:rsidP="0066027B">
      <w:pPr>
        <w:pStyle w:val="Caption"/>
      </w:pPr>
      <w:bookmarkStart w:id="50" w:name="_Ref167111164"/>
      <w:r w:rsidRPr="0066027B">
        <w:rPr>
          <w:rStyle w:val="CommentReference"/>
          <w:sz w:val="20"/>
          <w:szCs w:val="20"/>
        </w:rPr>
        <w:lastRenderedPageBreak/>
        <w:t>Table</w:t>
      </w:r>
      <w:r w:rsidRPr="004D70F4">
        <w:t xml:space="preserve"> </w:t>
      </w:r>
      <w:r w:rsidR="008F6B43">
        <w:fldChar w:fldCharType="begin"/>
      </w:r>
      <w:r w:rsidR="008F6B43">
        <w:instrText xml:space="preserve"> SEQ Table \* ARABIC </w:instrText>
      </w:r>
      <w:r w:rsidR="008F6B43">
        <w:fldChar w:fldCharType="separate"/>
      </w:r>
      <w:r w:rsidR="00325DE1">
        <w:rPr>
          <w:noProof/>
        </w:rPr>
        <w:t>17</w:t>
      </w:r>
      <w:r w:rsidR="008F6B43">
        <w:rPr>
          <w:noProof/>
        </w:rPr>
        <w:fldChar w:fldCharType="end"/>
      </w:r>
      <w:bookmarkEnd w:id="50"/>
      <w:r w:rsidR="007575A9" w:rsidRPr="004D70F4">
        <w:t>:</w:t>
      </w:r>
      <w:r w:rsidR="007575A9" w:rsidRPr="004D70F4">
        <w:rPr>
          <w:rStyle w:val="CommentReference"/>
        </w:rPr>
        <w:t xml:space="preserve"> </w:t>
      </w:r>
      <w:r w:rsidR="007575A9">
        <w:t>T</w:t>
      </w:r>
      <w:r w:rsidR="007575A9" w:rsidRPr="004D70F4">
        <w:t xml:space="preserve">otal uptake of </w:t>
      </w:r>
      <w:r w:rsidR="007575A9" w:rsidRPr="0066027B">
        <w:rPr>
          <w:i/>
          <w:iCs/>
        </w:rPr>
        <w:t>BRCA</w:t>
      </w:r>
      <w:r w:rsidR="007575A9" w:rsidRPr="004D70F4">
        <w:t xml:space="preserve"> </w:t>
      </w:r>
      <w:r w:rsidR="007575A9">
        <w:t>tests</w:t>
      </w:r>
    </w:p>
    <w:tbl>
      <w:tblPr>
        <w:tblStyle w:val="HTATableshaded"/>
        <w:tblW w:w="5000" w:type="pct"/>
        <w:tblLook w:val="04A0" w:firstRow="1" w:lastRow="0" w:firstColumn="1" w:lastColumn="0" w:noHBand="0" w:noVBand="1"/>
      </w:tblPr>
      <w:tblGrid>
        <w:gridCol w:w="1480"/>
        <w:gridCol w:w="1256"/>
        <w:gridCol w:w="1256"/>
        <w:gridCol w:w="1256"/>
        <w:gridCol w:w="1256"/>
        <w:gridCol w:w="1256"/>
        <w:gridCol w:w="1256"/>
      </w:tblGrid>
      <w:tr w:rsidR="007575A9" w:rsidRPr="004D70F4" w14:paraId="3C8D0818" w14:textId="77777777" w:rsidTr="00C1254C">
        <w:trPr>
          <w:cnfStyle w:val="100000000000" w:firstRow="1" w:lastRow="0" w:firstColumn="0" w:lastColumn="0" w:oddVBand="0" w:evenVBand="0" w:oddHBand="0" w:evenHBand="0" w:firstRowFirstColumn="0" w:firstRowLastColumn="0" w:lastRowFirstColumn="0" w:lastRowLastColumn="0"/>
        </w:trPr>
        <w:tc>
          <w:tcPr>
            <w:tcW w:w="1480" w:type="dxa"/>
          </w:tcPr>
          <w:p w14:paraId="3D898693" w14:textId="77777777" w:rsidR="007575A9" w:rsidRPr="004D70F4" w:rsidRDefault="007575A9" w:rsidP="0066027B">
            <w:pPr>
              <w:pStyle w:val="Tabletext0"/>
              <w:keepNext/>
              <w:keepLines/>
              <w:jc w:val="left"/>
              <w:rPr>
                <w:b/>
                <w:bCs/>
              </w:rPr>
            </w:pPr>
          </w:p>
        </w:tc>
        <w:tc>
          <w:tcPr>
            <w:tcW w:w="1256" w:type="dxa"/>
            <w:vAlign w:val="center"/>
          </w:tcPr>
          <w:p w14:paraId="5FFC7936" w14:textId="77777777" w:rsidR="007575A9" w:rsidRPr="004D70F4" w:rsidRDefault="007575A9" w:rsidP="0066027B">
            <w:pPr>
              <w:pStyle w:val="Tabletext0"/>
              <w:keepNext/>
              <w:keepLines/>
              <w:jc w:val="center"/>
              <w:rPr>
                <w:b/>
                <w:bCs/>
              </w:rPr>
            </w:pPr>
            <w:r w:rsidRPr="004D70F4">
              <w:rPr>
                <w:b/>
                <w:bCs/>
              </w:rPr>
              <w:t>2025</w:t>
            </w:r>
          </w:p>
        </w:tc>
        <w:tc>
          <w:tcPr>
            <w:tcW w:w="1256" w:type="dxa"/>
            <w:vAlign w:val="center"/>
          </w:tcPr>
          <w:p w14:paraId="73C2F537" w14:textId="77777777" w:rsidR="007575A9" w:rsidRPr="004D70F4" w:rsidRDefault="007575A9" w:rsidP="0066027B">
            <w:pPr>
              <w:pStyle w:val="Tabletext0"/>
              <w:keepNext/>
              <w:keepLines/>
              <w:jc w:val="center"/>
              <w:rPr>
                <w:b/>
                <w:bCs/>
              </w:rPr>
            </w:pPr>
            <w:r w:rsidRPr="004D70F4">
              <w:rPr>
                <w:b/>
                <w:bCs/>
              </w:rPr>
              <w:t>2026</w:t>
            </w:r>
          </w:p>
        </w:tc>
        <w:tc>
          <w:tcPr>
            <w:tcW w:w="1256" w:type="dxa"/>
            <w:vAlign w:val="center"/>
          </w:tcPr>
          <w:p w14:paraId="19462EB4" w14:textId="77777777" w:rsidR="007575A9" w:rsidRPr="004D70F4" w:rsidRDefault="007575A9" w:rsidP="0066027B">
            <w:pPr>
              <w:pStyle w:val="Tabletext0"/>
              <w:keepNext/>
              <w:keepLines/>
              <w:jc w:val="center"/>
              <w:rPr>
                <w:b/>
                <w:bCs/>
              </w:rPr>
            </w:pPr>
            <w:r w:rsidRPr="004D70F4">
              <w:rPr>
                <w:b/>
                <w:bCs/>
              </w:rPr>
              <w:t>2027</w:t>
            </w:r>
          </w:p>
        </w:tc>
        <w:tc>
          <w:tcPr>
            <w:tcW w:w="1256" w:type="dxa"/>
            <w:vAlign w:val="center"/>
          </w:tcPr>
          <w:p w14:paraId="347A5C46" w14:textId="77777777" w:rsidR="007575A9" w:rsidRPr="004D70F4" w:rsidRDefault="007575A9" w:rsidP="0066027B">
            <w:pPr>
              <w:pStyle w:val="Tabletext0"/>
              <w:keepNext/>
              <w:keepLines/>
              <w:jc w:val="center"/>
              <w:rPr>
                <w:b/>
                <w:bCs/>
              </w:rPr>
            </w:pPr>
            <w:r w:rsidRPr="004D70F4">
              <w:rPr>
                <w:b/>
                <w:bCs/>
              </w:rPr>
              <w:t>2028</w:t>
            </w:r>
          </w:p>
        </w:tc>
        <w:tc>
          <w:tcPr>
            <w:tcW w:w="1256" w:type="dxa"/>
            <w:vAlign w:val="center"/>
          </w:tcPr>
          <w:p w14:paraId="5532BBB3" w14:textId="77777777" w:rsidR="007575A9" w:rsidRPr="004D70F4" w:rsidRDefault="007575A9" w:rsidP="0066027B">
            <w:pPr>
              <w:pStyle w:val="Tabletext0"/>
              <w:keepNext/>
              <w:keepLines/>
              <w:jc w:val="center"/>
              <w:rPr>
                <w:b/>
                <w:bCs/>
              </w:rPr>
            </w:pPr>
            <w:r w:rsidRPr="004D70F4">
              <w:rPr>
                <w:b/>
                <w:bCs/>
              </w:rPr>
              <w:t>2029</w:t>
            </w:r>
          </w:p>
        </w:tc>
        <w:tc>
          <w:tcPr>
            <w:tcW w:w="1256" w:type="dxa"/>
            <w:vAlign w:val="center"/>
          </w:tcPr>
          <w:p w14:paraId="1657ACCE" w14:textId="77777777" w:rsidR="007575A9" w:rsidRPr="004D70F4" w:rsidRDefault="007575A9" w:rsidP="0066027B">
            <w:pPr>
              <w:pStyle w:val="Tabletext0"/>
              <w:keepNext/>
              <w:keepLines/>
              <w:jc w:val="center"/>
              <w:rPr>
                <w:b/>
                <w:bCs/>
              </w:rPr>
            </w:pPr>
            <w:r w:rsidRPr="004D70F4">
              <w:rPr>
                <w:b/>
                <w:bCs/>
              </w:rPr>
              <w:t>2030</w:t>
            </w:r>
          </w:p>
        </w:tc>
      </w:tr>
      <w:tr w:rsidR="007575A9" w:rsidRPr="004D70F4" w14:paraId="04C7DA9C" w14:textId="77777777" w:rsidTr="00C1254C">
        <w:tc>
          <w:tcPr>
            <w:tcW w:w="1480" w:type="dxa"/>
            <w:tcBorders>
              <w:right w:val="nil"/>
            </w:tcBorders>
          </w:tcPr>
          <w:p w14:paraId="097C4F79" w14:textId="77777777" w:rsidR="007575A9" w:rsidRPr="004D70F4" w:rsidRDefault="007575A9" w:rsidP="0066027B">
            <w:pPr>
              <w:pStyle w:val="Tabletext0"/>
              <w:keepNext/>
              <w:keepLines/>
              <w:jc w:val="left"/>
              <w:rPr>
                <w:b/>
                <w:bCs/>
              </w:rPr>
            </w:pPr>
            <w:r>
              <w:rPr>
                <w:b/>
                <w:bCs/>
              </w:rPr>
              <w:t>TNBC Patients</w:t>
            </w:r>
          </w:p>
        </w:tc>
        <w:tc>
          <w:tcPr>
            <w:tcW w:w="1256" w:type="dxa"/>
            <w:tcBorders>
              <w:left w:val="nil"/>
              <w:right w:val="nil"/>
            </w:tcBorders>
            <w:vAlign w:val="center"/>
          </w:tcPr>
          <w:p w14:paraId="010184C4" w14:textId="77777777" w:rsidR="007575A9" w:rsidRPr="004D70F4" w:rsidRDefault="007575A9" w:rsidP="00090769">
            <w:pPr>
              <w:pStyle w:val="Tabletext0"/>
              <w:keepNext/>
              <w:keepLines/>
              <w:jc w:val="center"/>
              <w:rPr>
                <w:b/>
                <w:bCs/>
              </w:rPr>
            </w:pPr>
          </w:p>
        </w:tc>
        <w:tc>
          <w:tcPr>
            <w:tcW w:w="1256" w:type="dxa"/>
            <w:tcBorders>
              <w:left w:val="nil"/>
              <w:right w:val="nil"/>
            </w:tcBorders>
            <w:vAlign w:val="center"/>
          </w:tcPr>
          <w:p w14:paraId="324F0256" w14:textId="77777777" w:rsidR="007575A9" w:rsidRPr="004D70F4" w:rsidRDefault="007575A9" w:rsidP="00090769">
            <w:pPr>
              <w:pStyle w:val="Tabletext0"/>
              <w:keepNext/>
              <w:keepLines/>
              <w:jc w:val="center"/>
              <w:rPr>
                <w:b/>
                <w:bCs/>
              </w:rPr>
            </w:pPr>
          </w:p>
        </w:tc>
        <w:tc>
          <w:tcPr>
            <w:tcW w:w="1256" w:type="dxa"/>
            <w:tcBorders>
              <w:left w:val="nil"/>
              <w:right w:val="nil"/>
            </w:tcBorders>
            <w:vAlign w:val="center"/>
          </w:tcPr>
          <w:p w14:paraId="1C195A63" w14:textId="77777777" w:rsidR="007575A9" w:rsidRPr="004D70F4" w:rsidRDefault="007575A9" w:rsidP="00090769">
            <w:pPr>
              <w:pStyle w:val="Tabletext0"/>
              <w:keepNext/>
              <w:keepLines/>
              <w:jc w:val="center"/>
              <w:rPr>
                <w:b/>
                <w:bCs/>
              </w:rPr>
            </w:pPr>
          </w:p>
        </w:tc>
        <w:tc>
          <w:tcPr>
            <w:tcW w:w="1256" w:type="dxa"/>
            <w:tcBorders>
              <w:left w:val="nil"/>
              <w:right w:val="nil"/>
            </w:tcBorders>
            <w:vAlign w:val="center"/>
          </w:tcPr>
          <w:p w14:paraId="13AD4F56" w14:textId="77777777" w:rsidR="007575A9" w:rsidRPr="004D70F4" w:rsidRDefault="007575A9" w:rsidP="00090769">
            <w:pPr>
              <w:pStyle w:val="Tabletext0"/>
              <w:keepNext/>
              <w:keepLines/>
              <w:jc w:val="center"/>
              <w:rPr>
                <w:b/>
                <w:bCs/>
              </w:rPr>
            </w:pPr>
          </w:p>
        </w:tc>
        <w:tc>
          <w:tcPr>
            <w:tcW w:w="1256" w:type="dxa"/>
            <w:tcBorders>
              <w:left w:val="nil"/>
              <w:right w:val="nil"/>
            </w:tcBorders>
            <w:vAlign w:val="center"/>
          </w:tcPr>
          <w:p w14:paraId="7AC95D62" w14:textId="77777777" w:rsidR="007575A9" w:rsidRPr="004D70F4" w:rsidRDefault="007575A9" w:rsidP="00090769">
            <w:pPr>
              <w:pStyle w:val="Tabletext0"/>
              <w:keepNext/>
              <w:keepLines/>
              <w:jc w:val="center"/>
              <w:rPr>
                <w:b/>
                <w:bCs/>
              </w:rPr>
            </w:pPr>
          </w:p>
        </w:tc>
        <w:tc>
          <w:tcPr>
            <w:tcW w:w="1256" w:type="dxa"/>
            <w:tcBorders>
              <w:left w:val="nil"/>
            </w:tcBorders>
            <w:vAlign w:val="center"/>
          </w:tcPr>
          <w:p w14:paraId="1A107792" w14:textId="77777777" w:rsidR="007575A9" w:rsidRPr="004D70F4" w:rsidRDefault="007575A9" w:rsidP="00090769">
            <w:pPr>
              <w:pStyle w:val="Tabletext0"/>
              <w:keepNext/>
              <w:keepLines/>
              <w:jc w:val="center"/>
              <w:rPr>
                <w:b/>
                <w:bCs/>
              </w:rPr>
            </w:pPr>
          </w:p>
        </w:tc>
      </w:tr>
      <w:tr w:rsidR="007575A9" w:rsidRPr="004D70F4" w14:paraId="3046C6CD" w14:textId="77777777" w:rsidTr="0090680E">
        <w:tc>
          <w:tcPr>
            <w:tcW w:w="0" w:type="dxa"/>
          </w:tcPr>
          <w:p w14:paraId="021A397D" w14:textId="77777777" w:rsidR="007575A9" w:rsidRPr="00C530D6" w:rsidRDefault="007575A9" w:rsidP="0066027B">
            <w:pPr>
              <w:pStyle w:val="Tabletext0"/>
              <w:keepNext/>
              <w:keepLines/>
              <w:jc w:val="left"/>
            </w:pPr>
            <w:r w:rsidRPr="0066027B">
              <w:rPr>
                <w:i/>
                <w:iCs/>
              </w:rPr>
              <w:t>De novo</w:t>
            </w:r>
            <w:r w:rsidRPr="00C530D6">
              <w:t xml:space="preserve"> TNBC taking up </w:t>
            </w:r>
            <w:r w:rsidRPr="0066027B">
              <w:rPr>
                <w:i/>
                <w:iCs/>
              </w:rPr>
              <w:t>BRCA</w:t>
            </w:r>
            <w:r w:rsidRPr="00C530D6">
              <w:t xml:space="preserve"> testing</w:t>
            </w:r>
          </w:p>
        </w:tc>
        <w:tc>
          <w:tcPr>
            <w:tcW w:w="0" w:type="dxa"/>
            <w:shd w:val="clear" w:color="auto" w:fill="auto"/>
            <w:vAlign w:val="center"/>
          </w:tcPr>
          <w:p w14:paraId="431C2755" w14:textId="3E5FD979" w:rsidR="007575A9" w:rsidRPr="0090680E" w:rsidRDefault="0090680E" w:rsidP="0066027B">
            <w:pPr>
              <w:pStyle w:val="Tabletext0"/>
              <w:keepNext/>
              <w:keepLines/>
              <w:jc w:val="center"/>
              <w:rPr>
                <w:sz w:val="18"/>
                <w:szCs w:val="18"/>
                <w:vertAlign w:val="superscript"/>
              </w:rPr>
            </w:pPr>
            <w:r w:rsidRPr="0090680E">
              <w:rPr>
                <w:b/>
                <w:bCs/>
                <w:sz w:val="18"/>
                <w:szCs w:val="18"/>
              </w:rPr>
              <w:t>redacted</w:t>
            </w:r>
            <w:r w:rsidR="0088429B" w:rsidRPr="0090680E">
              <w:rPr>
                <w:sz w:val="18"/>
                <w:szCs w:val="18"/>
                <w:vertAlign w:val="superscript"/>
              </w:rPr>
              <w:t>1</w:t>
            </w:r>
          </w:p>
        </w:tc>
        <w:tc>
          <w:tcPr>
            <w:tcW w:w="0" w:type="dxa"/>
            <w:shd w:val="clear" w:color="auto" w:fill="auto"/>
            <w:vAlign w:val="center"/>
          </w:tcPr>
          <w:p w14:paraId="2A1DC731" w14:textId="2F2E15ED" w:rsidR="007575A9" w:rsidRPr="0090680E" w:rsidRDefault="0090680E" w:rsidP="0066027B">
            <w:pPr>
              <w:pStyle w:val="Tabletext0"/>
              <w:keepNext/>
              <w:keepLines/>
              <w:jc w:val="center"/>
              <w:rPr>
                <w:sz w:val="18"/>
                <w:szCs w:val="18"/>
              </w:rPr>
            </w:pPr>
            <w:r w:rsidRPr="0090680E">
              <w:rPr>
                <w:b/>
                <w:bCs/>
                <w:sz w:val="18"/>
                <w:szCs w:val="18"/>
              </w:rPr>
              <w:t>redacted</w:t>
            </w:r>
            <w:r w:rsidR="0088429B" w:rsidRPr="0090680E">
              <w:rPr>
                <w:sz w:val="18"/>
                <w:szCs w:val="18"/>
                <w:vertAlign w:val="superscript"/>
              </w:rPr>
              <w:t>1</w:t>
            </w:r>
          </w:p>
        </w:tc>
        <w:tc>
          <w:tcPr>
            <w:tcW w:w="0" w:type="dxa"/>
            <w:shd w:val="clear" w:color="auto" w:fill="auto"/>
            <w:vAlign w:val="center"/>
          </w:tcPr>
          <w:p w14:paraId="536F6F14" w14:textId="6185B9CB" w:rsidR="007575A9" w:rsidRPr="0090680E" w:rsidRDefault="0090680E" w:rsidP="0066027B">
            <w:pPr>
              <w:pStyle w:val="Tabletext0"/>
              <w:keepNext/>
              <w:keepLines/>
              <w:jc w:val="center"/>
              <w:rPr>
                <w:sz w:val="18"/>
                <w:szCs w:val="18"/>
              </w:rPr>
            </w:pPr>
            <w:r w:rsidRPr="0090680E">
              <w:rPr>
                <w:b/>
                <w:bCs/>
                <w:sz w:val="18"/>
                <w:szCs w:val="18"/>
              </w:rPr>
              <w:t>redacted</w:t>
            </w:r>
            <w:r w:rsidR="0088429B" w:rsidRPr="0090680E">
              <w:rPr>
                <w:sz w:val="18"/>
                <w:szCs w:val="18"/>
                <w:vertAlign w:val="superscript"/>
              </w:rPr>
              <w:t>1</w:t>
            </w:r>
          </w:p>
        </w:tc>
        <w:tc>
          <w:tcPr>
            <w:tcW w:w="0" w:type="dxa"/>
            <w:shd w:val="clear" w:color="auto" w:fill="auto"/>
            <w:vAlign w:val="center"/>
          </w:tcPr>
          <w:p w14:paraId="750528A8" w14:textId="3C6CB2F8" w:rsidR="007575A9" w:rsidRPr="0090680E" w:rsidRDefault="0090680E" w:rsidP="0066027B">
            <w:pPr>
              <w:pStyle w:val="Tabletext0"/>
              <w:keepNext/>
              <w:keepLines/>
              <w:jc w:val="center"/>
              <w:rPr>
                <w:sz w:val="18"/>
                <w:szCs w:val="18"/>
              </w:rPr>
            </w:pPr>
            <w:r w:rsidRPr="0090680E">
              <w:rPr>
                <w:b/>
                <w:bCs/>
                <w:sz w:val="18"/>
                <w:szCs w:val="18"/>
              </w:rPr>
              <w:t>redacted</w:t>
            </w:r>
            <w:r w:rsidR="0088429B" w:rsidRPr="0090680E">
              <w:rPr>
                <w:sz w:val="18"/>
                <w:szCs w:val="18"/>
                <w:vertAlign w:val="superscript"/>
              </w:rPr>
              <w:t>1</w:t>
            </w:r>
          </w:p>
        </w:tc>
        <w:tc>
          <w:tcPr>
            <w:tcW w:w="0" w:type="dxa"/>
            <w:shd w:val="clear" w:color="auto" w:fill="auto"/>
            <w:vAlign w:val="center"/>
          </w:tcPr>
          <w:p w14:paraId="61F59F6D" w14:textId="68307440" w:rsidR="007575A9" w:rsidRPr="0090680E" w:rsidRDefault="0090680E" w:rsidP="0066027B">
            <w:pPr>
              <w:pStyle w:val="Tabletext0"/>
              <w:keepNext/>
              <w:keepLines/>
              <w:jc w:val="center"/>
              <w:rPr>
                <w:sz w:val="18"/>
                <w:szCs w:val="18"/>
              </w:rPr>
            </w:pPr>
            <w:r w:rsidRPr="0090680E">
              <w:rPr>
                <w:b/>
                <w:bCs/>
                <w:sz w:val="18"/>
                <w:szCs w:val="18"/>
              </w:rPr>
              <w:t>redacted</w:t>
            </w:r>
            <w:r w:rsidR="0088429B" w:rsidRPr="0090680E">
              <w:rPr>
                <w:sz w:val="18"/>
                <w:szCs w:val="18"/>
                <w:vertAlign w:val="superscript"/>
              </w:rPr>
              <w:t>1</w:t>
            </w:r>
          </w:p>
        </w:tc>
        <w:tc>
          <w:tcPr>
            <w:tcW w:w="0" w:type="dxa"/>
            <w:shd w:val="clear" w:color="auto" w:fill="auto"/>
            <w:vAlign w:val="center"/>
          </w:tcPr>
          <w:p w14:paraId="26F2161B" w14:textId="6C43E49F" w:rsidR="007575A9" w:rsidRPr="0090680E" w:rsidRDefault="0090680E" w:rsidP="0066027B">
            <w:pPr>
              <w:pStyle w:val="Tabletext0"/>
              <w:keepNext/>
              <w:keepLines/>
              <w:jc w:val="center"/>
              <w:rPr>
                <w:sz w:val="18"/>
                <w:szCs w:val="18"/>
              </w:rPr>
            </w:pPr>
            <w:r w:rsidRPr="0090680E">
              <w:rPr>
                <w:b/>
                <w:bCs/>
                <w:sz w:val="18"/>
                <w:szCs w:val="18"/>
              </w:rPr>
              <w:t>redacted</w:t>
            </w:r>
            <w:r w:rsidR="0088429B" w:rsidRPr="0090680E">
              <w:rPr>
                <w:sz w:val="18"/>
                <w:szCs w:val="18"/>
                <w:vertAlign w:val="superscript"/>
              </w:rPr>
              <w:t>1</w:t>
            </w:r>
          </w:p>
        </w:tc>
      </w:tr>
      <w:tr w:rsidR="007575A9" w:rsidRPr="004D70F4" w14:paraId="23FAD18D" w14:textId="77777777" w:rsidTr="0090680E">
        <w:tc>
          <w:tcPr>
            <w:tcW w:w="0" w:type="dxa"/>
          </w:tcPr>
          <w:p w14:paraId="26457AC5" w14:textId="77777777" w:rsidR="007575A9" w:rsidRPr="00C530D6" w:rsidRDefault="007575A9" w:rsidP="0066027B">
            <w:pPr>
              <w:pStyle w:val="Tabletext0"/>
              <w:keepNext/>
              <w:keepLines/>
              <w:jc w:val="left"/>
            </w:pPr>
            <w:r w:rsidRPr="00C530D6">
              <w:t xml:space="preserve">Recurrent TNBC taking up </w:t>
            </w:r>
            <w:r w:rsidRPr="0066027B">
              <w:rPr>
                <w:i/>
                <w:iCs/>
              </w:rPr>
              <w:t>BRCA</w:t>
            </w:r>
            <w:r w:rsidRPr="00C530D6">
              <w:t xml:space="preserve"> testing</w:t>
            </w:r>
          </w:p>
        </w:tc>
        <w:tc>
          <w:tcPr>
            <w:tcW w:w="0" w:type="dxa"/>
            <w:shd w:val="clear" w:color="auto" w:fill="auto"/>
            <w:vAlign w:val="center"/>
          </w:tcPr>
          <w:p w14:paraId="5283984E" w14:textId="289B221B"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c>
          <w:tcPr>
            <w:tcW w:w="0" w:type="dxa"/>
            <w:shd w:val="clear" w:color="auto" w:fill="auto"/>
            <w:vAlign w:val="center"/>
          </w:tcPr>
          <w:p w14:paraId="1D76BFC8" w14:textId="35017099"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c>
          <w:tcPr>
            <w:tcW w:w="0" w:type="dxa"/>
            <w:shd w:val="clear" w:color="auto" w:fill="auto"/>
            <w:vAlign w:val="center"/>
          </w:tcPr>
          <w:p w14:paraId="6FA80E28" w14:textId="01A5BC5F"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c>
          <w:tcPr>
            <w:tcW w:w="0" w:type="dxa"/>
            <w:shd w:val="clear" w:color="auto" w:fill="auto"/>
            <w:vAlign w:val="center"/>
          </w:tcPr>
          <w:p w14:paraId="1D33FEB5" w14:textId="5E1A4DD1"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c>
          <w:tcPr>
            <w:tcW w:w="0" w:type="dxa"/>
            <w:shd w:val="clear" w:color="auto" w:fill="auto"/>
            <w:vAlign w:val="center"/>
          </w:tcPr>
          <w:p w14:paraId="6EBF2810" w14:textId="48EF06AF"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c>
          <w:tcPr>
            <w:tcW w:w="0" w:type="dxa"/>
            <w:shd w:val="clear" w:color="auto" w:fill="auto"/>
            <w:vAlign w:val="center"/>
          </w:tcPr>
          <w:p w14:paraId="3670E480" w14:textId="7D0EB096"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r>
      <w:tr w:rsidR="007575A9" w:rsidRPr="004D70F4" w14:paraId="27B67C41" w14:textId="77777777" w:rsidTr="0090680E">
        <w:tc>
          <w:tcPr>
            <w:tcW w:w="0" w:type="dxa"/>
          </w:tcPr>
          <w:p w14:paraId="6845D9E6" w14:textId="77777777" w:rsidR="007575A9" w:rsidRPr="00C530D6" w:rsidRDefault="007575A9" w:rsidP="0066027B">
            <w:pPr>
              <w:pStyle w:val="Tabletext0"/>
              <w:keepNext/>
              <w:keepLines/>
              <w:jc w:val="left"/>
            </w:pPr>
            <w:r w:rsidRPr="00C530D6">
              <w:t xml:space="preserve">Total TNBC patients taking up </w:t>
            </w:r>
            <w:r w:rsidRPr="0066027B">
              <w:rPr>
                <w:i/>
                <w:iCs/>
              </w:rPr>
              <w:t>BRCA</w:t>
            </w:r>
            <w:r w:rsidRPr="00C530D6">
              <w:t xml:space="preserve"> testing</w:t>
            </w:r>
          </w:p>
        </w:tc>
        <w:tc>
          <w:tcPr>
            <w:tcW w:w="0" w:type="dxa"/>
            <w:shd w:val="clear" w:color="auto" w:fill="auto"/>
            <w:vAlign w:val="center"/>
          </w:tcPr>
          <w:p w14:paraId="5AC537ED" w14:textId="132645D8"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c>
          <w:tcPr>
            <w:tcW w:w="0" w:type="dxa"/>
            <w:shd w:val="clear" w:color="auto" w:fill="auto"/>
            <w:vAlign w:val="center"/>
          </w:tcPr>
          <w:p w14:paraId="5AFF641A" w14:textId="73FEA273"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c>
          <w:tcPr>
            <w:tcW w:w="0" w:type="dxa"/>
            <w:shd w:val="clear" w:color="auto" w:fill="auto"/>
            <w:vAlign w:val="center"/>
          </w:tcPr>
          <w:p w14:paraId="12B00D98" w14:textId="5D94513E"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c>
          <w:tcPr>
            <w:tcW w:w="0" w:type="dxa"/>
            <w:shd w:val="clear" w:color="auto" w:fill="auto"/>
            <w:vAlign w:val="center"/>
          </w:tcPr>
          <w:p w14:paraId="07063306" w14:textId="2382112D"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c>
          <w:tcPr>
            <w:tcW w:w="0" w:type="dxa"/>
            <w:shd w:val="clear" w:color="auto" w:fill="auto"/>
            <w:vAlign w:val="center"/>
          </w:tcPr>
          <w:p w14:paraId="13E02681" w14:textId="6C162628"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c>
          <w:tcPr>
            <w:tcW w:w="0" w:type="dxa"/>
            <w:shd w:val="clear" w:color="auto" w:fill="auto"/>
            <w:vAlign w:val="center"/>
          </w:tcPr>
          <w:p w14:paraId="1931D49E" w14:textId="51AE5737" w:rsidR="007575A9" w:rsidRPr="0090680E" w:rsidRDefault="0090680E" w:rsidP="0066027B">
            <w:pPr>
              <w:pStyle w:val="Tabletext0"/>
              <w:keepNext/>
              <w:keepLines/>
              <w:jc w:val="center"/>
              <w:rPr>
                <w:sz w:val="18"/>
                <w:szCs w:val="18"/>
              </w:rPr>
            </w:pPr>
            <w:r w:rsidRPr="0090680E">
              <w:rPr>
                <w:b/>
                <w:bCs/>
                <w:sz w:val="18"/>
                <w:szCs w:val="18"/>
              </w:rPr>
              <w:t>redacted</w:t>
            </w:r>
            <w:r w:rsidR="00BE0028" w:rsidRPr="0090680E">
              <w:rPr>
                <w:sz w:val="18"/>
                <w:szCs w:val="18"/>
                <w:vertAlign w:val="superscript"/>
              </w:rPr>
              <w:t>2</w:t>
            </w:r>
          </w:p>
        </w:tc>
      </w:tr>
      <w:tr w:rsidR="007575A9" w:rsidRPr="004D70F4" w14:paraId="2FF54639" w14:textId="77777777" w:rsidTr="0090680E">
        <w:tc>
          <w:tcPr>
            <w:tcW w:w="0" w:type="dxa"/>
          </w:tcPr>
          <w:p w14:paraId="1EC98EB3" w14:textId="77777777" w:rsidR="007575A9" w:rsidRPr="00C530D6" w:rsidRDefault="007575A9" w:rsidP="0066027B">
            <w:pPr>
              <w:pStyle w:val="Tabletext0"/>
              <w:keepNext/>
              <w:keepLines/>
              <w:jc w:val="left"/>
            </w:pPr>
            <w:r w:rsidRPr="00C530D6">
              <w:t xml:space="preserve">Proportion of recurrent TNBC who know their </w:t>
            </w:r>
            <w:r w:rsidRPr="0066027B">
              <w:rPr>
                <w:i/>
                <w:iCs/>
              </w:rPr>
              <w:t>BRCA</w:t>
            </w:r>
            <w:r w:rsidRPr="00C530D6">
              <w:t xml:space="preserve"> status due to eBC testing </w:t>
            </w:r>
          </w:p>
        </w:tc>
        <w:tc>
          <w:tcPr>
            <w:tcW w:w="0" w:type="dxa"/>
            <w:shd w:val="clear" w:color="auto" w:fill="auto"/>
            <w:vAlign w:val="center"/>
          </w:tcPr>
          <w:p w14:paraId="35742EA3" w14:textId="2854C6D4" w:rsidR="007575A9" w:rsidRPr="001559E2" w:rsidRDefault="0090680E" w:rsidP="0066027B">
            <w:pPr>
              <w:pStyle w:val="Tabletext0"/>
              <w:keepNext/>
              <w:keepLines/>
              <w:jc w:val="center"/>
            </w:pPr>
            <w:r w:rsidRPr="0090680E">
              <w:rPr>
                <w:b/>
                <w:bCs/>
              </w:rPr>
              <w:t>redacted</w:t>
            </w:r>
            <w:r w:rsidR="007575A9" w:rsidRPr="001559E2">
              <w:t>%</w:t>
            </w:r>
          </w:p>
        </w:tc>
        <w:tc>
          <w:tcPr>
            <w:tcW w:w="0" w:type="dxa"/>
            <w:shd w:val="clear" w:color="auto" w:fill="auto"/>
            <w:vAlign w:val="center"/>
          </w:tcPr>
          <w:p w14:paraId="452DF33D" w14:textId="575C716E" w:rsidR="007575A9" w:rsidRPr="001559E2" w:rsidRDefault="0090680E" w:rsidP="0066027B">
            <w:pPr>
              <w:pStyle w:val="Tabletext0"/>
              <w:keepNext/>
              <w:keepLines/>
              <w:jc w:val="center"/>
            </w:pPr>
            <w:r w:rsidRPr="0090680E">
              <w:rPr>
                <w:b/>
                <w:bCs/>
              </w:rPr>
              <w:t>redacted</w:t>
            </w:r>
            <w:r w:rsidR="000906CF" w:rsidRPr="0090680E" w:rsidDel="000906CF">
              <w:t xml:space="preserve"> </w:t>
            </w:r>
            <w:r w:rsidR="007575A9" w:rsidRPr="001559E2">
              <w:t>%</w:t>
            </w:r>
          </w:p>
        </w:tc>
        <w:tc>
          <w:tcPr>
            <w:tcW w:w="0" w:type="dxa"/>
            <w:shd w:val="clear" w:color="auto" w:fill="auto"/>
            <w:vAlign w:val="center"/>
          </w:tcPr>
          <w:p w14:paraId="0ED944B4" w14:textId="10786E91" w:rsidR="007575A9" w:rsidRPr="001559E2" w:rsidRDefault="0090680E" w:rsidP="0066027B">
            <w:pPr>
              <w:pStyle w:val="Tabletext0"/>
              <w:keepNext/>
              <w:keepLines/>
              <w:jc w:val="center"/>
            </w:pPr>
            <w:r w:rsidRPr="0090680E">
              <w:rPr>
                <w:b/>
                <w:bCs/>
              </w:rPr>
              <w:t>redacted</w:t>
            </w:r>
            <w:r w:rsidR="000906CF" w:rsidRPr="0090680E" w:rsidDel="000906CF">
              <w:t xml:space="preserve"> </w:t>
            </w:r>
            <w:r w:rsidR="007575A9" w:rsidRPr="001559E2">
              <w:t>%</w:t>
            </w:r>
          </w:p>
        </w:tc>
        <w:tc>
          <w:tcPr>
            <w:tcW w:w="0" w:type="dxa"/>
            <w:shd w:val="clear" w:color="auto" w:fill="auto"/>
            <w:vAlign w:val="center"/>
          </w:tcPr>
          <w:p w14:paraId="402D6331" w14:textId="77366FD6" w:rsidR="007575A9" w:rsidRPr="001559E2" w:rsidRDefault="0090680E" w:rsidP="0066027B">
            <w:pPr>
              <w:pStyle w:val="Tabletext0"/>
              <w:keepNext/>
              <w:keepLines/>
              <w:jc w:val="center"/>
            </w:pPr>
            <w:r w:rsidRPr="0090680E">
              <w:rPr>
                <w:b/>
                <w:bCs/>
              </w:rPr>
              <w:t>redacted</w:t>
            </w:r>
            <w:r w:rsidR="000906CF" w:rsidRPr="0090680E" w:rsidDel="000906CF">
              <w:t xml:space="preserve"> </w:t>
            </w:r>
            <w:r w:rsidR="007575A9" w:rsidRPr="001559E2">
              <w:t>%</w:t>
            </w:r>
          </w:p>
        </w:tc>
        <w:tc>
          <w:tcPr>
            <w:tcW w:w="0" w:type="dxa"/>
            <w:shd w:val="clear" w:color="auto" w:fill="auto"/>
            <w:vAlign w:val="center"/>
          </w:tcPr>
          <w:p w14:paraId="28431250" w14:textId="7E6D69A9" w:rsidR="007575A9" w:rsidRPr="001559E2" w:rsidRDefault="0090680E" w:rsidP="0066027B">
            <w:pPr>
              <w:pStyle w:val="Tabletext0"/>
              <w:keepNext/>
              <w:keepLines/>
              <w:jc w:val="center"/>
            </w:pPr>
            <w:r w:rsidRPr="0090680E">
              <w:rPr>
                <w:b/>
                <w:bCs/>
              </w:rPr>
              <w:t>redacted</w:t>
            </w:r>
            <w:r w:rsidR="000906CF" w:rsidRPr="0090680E" w:rsidDel="000906CF">
              <w:t xml:space="preserve"> </w:t>
            </w:r>
            <w:r w:rsidR="007575A9" w:rsidRPr="001559E2">
              <w:t>%</w:t>
            </w:r>
          </w:p>
        </w:tc>
        <w:tc>
          <w:tcPr>
            <w:tcW w:w="0" w:type="dxa"/>
            <w:shd w:val="clear" w:color="auto" w:fill="auto"/>
            <w:vAlign w:val="center"/>
          </w:tcPr>
          <w:p w14:paraId="302253CA" w14:textId="467B8197" w:rsidR="007575A9" w:rsidRPr="001559E2" w:rsidRDefault="0090680E" w:rsidP="0066027B">
            <w:pPr>
              <w:pStyle w:val="Tabletext0"/>
              <w:keepNext/>
              <w:keepLines/>
              <w:jc w:val="center"/>
            </w:pPr>
            <w:r w:rsidRPr="0090680E">
              <w:rPr>
                <w:b/>
                <w:bCs/>
              </w:rPr>
              <w:t>redacted</w:t>
            </w:r>
            <w:r w:rsidR="000906CF" w:rsidRPr="0090680E" w:rsidDel="000906CF">
              <w:t xml:space="preserve"> </w:t>
            </w:r>
            <w:r w:rsidR="007575A9" w:rsidRPr="001559E2">
              <w:t>%</w:t>
            </w:r>
          </w:p>
        </w:tc>
      </w:tr>
      <w:tr w:rsidR="007575A9" w:rsidRPr="004D70F4" w14:paraId="23C3492E" w14:textId="77777777" w:rsidTr="0090680E">
        <w:tc>
          <w:tcPr>
            <w:tcW w:w="0" w:type="dxa"/>
          </w:tcPr>
          <w:p w14:paraId="6F93CA60" w14:textId="77777777" w:rsidR="007575A9" w:rsidRPr="00C530D6" w:rsidRDefault="007575A9" w:rsidP="0066027B">
            <w:pPr>
              <w:pStyle w:val="Tabletext0"/>
              <w:keepNext/>
              <w:keepLines/>
              <w:jc w:val="left"/>
            </w:pPr>
            <w:r w:rsidRPr="00C530D6">
              <w:t>Estimated patients who know their status from testing in eBC</w:t>
            </w:r>
          </w:p>
        </w:tc>
        <w:tc>
          <w:tcPr>
            <w:tcW w:w="0" w:type="dxa"/>
            <w:shd w:val="clear" w:color="auto" w:fill="auto"/>
            <w:vAlign w:val="center"/>
          </w:tcPr>
          <w:p w14:paraId="13C7C4A1" w14:textId="7CFAB4C0" w:rsidR="007575A9" w:rsidRPr="001559E2" w:rsidRDefault="0090680E" w:rsidP="0066027B">
            <w:pPr>
              <w:pStyle w:val="Tabletext0"/>
              <w:keepNext/>
              <w:keepLines/>
              <w:jc w:val="center"/>
            </w:pPr>
            <w:r w:rsidRPr="0090680E">
              <w:rPr>
                <w:b/>
                <w:bCs/>
                <w:sz w:val="18"/>
                <w:szCs w:val="18"/>
              </w:rPr>
              <w:t>redacted</w:t>
            </w:r>
            <w:r w:rsidR="00CF1E36" w:rsidRPr="003B3240">
              <w:rPr>
                <w:sz w:val="18"/>
                <w:szCs w:val="18"/>
                <w:vertAlign w:val="superscript"/>
              </w:rPr>
              <w:t>1</w:t>
            </w:r>
          </w:p>
        </w:tc>
        <w:tc>
          <w:tcPr>
            <w:tcW w:w="0" w:type="dxa"/>
            <w:shd w:val="clear" w:color="auto" w:fill="auto"/>
            <w:vAlign w:val="center"/>
          </w:tcPr>
          <w:p w14:paraId="71CF22C9" w14:textId="2EF8972B" w:rsidR="007575A9" w:rsidRPr="001559E2" w:rsidRDefault="0090680E" w:rsidP="0066027B">
            <w:pPr>
              <w:pStyle w:val="Tabletext0"/>
              <w:keepNext/>
              <w:keepLines/>
              <w:jc w:val="center"/>
            </w:pPr>
            <w:r w:rsidRPr="0090680E">
              <w:rPr>
                <w:b/>
                <w:bCs/>
                <w:sz w:val="18"/>
                <w:szCs w:val="18"/>
              </w:rPr>
              <w:t>redacted</w:t>
            </w:r>
            <w:r w:rsidR="00CF1E36" w:rsidRPr="003B3240">
              <w:rPr>
                <w:sz w:val="18"/>
                <w:szCs w:val="18"/>
                <w:vertAlign w:val="superscript"/>
              </w:rPr>
              <w:t>1</w:t>
            </w:r>
          </w:p>
        </w:tc>
        <w:tc>
          <w:tcPr>
            <w:tcW w:w="0" w:type="dxa"/>
            <w:shd w:val="clear" w:color="auto" w:fill="auto"/>
            <w:vAlign w:val="center"/>
          </w:tcPr>
          <w:p w14:paraId="3276721B" w14:textId="5BC1DE84" w:rsidR="007575A9" w:rsidRPr="001559E2" w:rsidRDefault="0090680E" w:rsidP="0066027B">
            <w:pPr>
              <w:pStyle w:val="Tabletext0"/>
              <w:keepNext/>
              <w:keepLines/>
              <w:jc w:val="center"/>
            </w:pPr>
            <w:r w:rsidRPr="0090680E">
              <w:rPr>
                <w:b/>
                <w:bCs/>
                <w:sz w:val="18"/>
                <w:szCs w:val="18"/>
              </w:rPr>
              <w:t>redacted</w:t>
            </w:r>
            <w:r w:rsidR="00CF1E36" w:rsidRPr="003B3240">
              <w:rPr>
                <w:sz w:val="18"/>
                <w:szCs w:val="18"/>
                <w:vertAlign w:val="superscript"/>
              </w:rPr>
              <w:t>1</w:t>
            </w:r>
          </w:p>
        </w:tc>
        <w:tc>
          <w:tcPr>
            <w:tcW w:w="0" w:type="dxa"/>
            <w:shd w:val="clear" w:color="auto" w:fill="auto"/>
            <w:vAlign w:val="center"/>
          </w:tcPr>
          <w:p w14:paraId="05043DAB" w14:textId="20DFF0AE"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0EBE8405" w14:textId="719B41F4"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3DDB5E73" w14:textId="28D624C4"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r>
      <w:tr w:rsidR="007575A9" w:rsidRPr="004D70F4" w14:paraId="3BBD0C33" w14:textId="77777777" w:rsidTr="0090680E">
        <w:tc>
          <w:tcPr>
            <w:tcW w:w="0" w:type="dxa"/>
          </w:tcPr>
          <w:p w14:paraId="15DB36AA" w14:textId="77777777" w:rsidR="007575A9" w:rsidRPr="00C530D6" w:rsidRDefault="007575A9" w:rsidP="0066027B">
            <w:pPr>
              <w:pStyle w:val="Tabletext0"/>
              <w:keepNext/>
              <w:keepLines/>
              <w:jc w:val="left"/>
            </w:pPr>
            <w:r w:rsidRPr="00C530D6">
              <w:t>Estimated recurrent patients who take up testing in mBC</w:t>
            </w:r>
          </w:p>
        </w:tc>
        <w:tc>
          <w:tcPr>
            <w:tcW w:w="0" w:type="dxa"/>
            <w:shd w:val="clear" w:color="auto" w:fill="auto"/>
            <w:vAlign w:val="center"/>
          </w:tcPr>
          <w:p w14:paraId="15CCE024" w14:textId="403B8B91"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6FBF8A62" w14:textId="33F02AA4"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222CD27B" w14:textId="70E3FFA5"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2C937C58" w14:textId="48D16461"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1</w:t>
            </w:r>
          </w:p>
        </w:tc>
        <w:tc>
          <w:tcPr>
            <w:tcW w:w="0" w:type="dxa"/>
            <w:shd w:val="clear" w:color="auto" w:fill="auto"/>
            <w:vAlign w:val="center"/>
          </w:tcPr>
          <w:p w14:paraId="311616A2" w14:textId="6207A1EC"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1</w:t>
            </w:r>
          </w:p>
        </w:tc>
        <w:tc>
          <w:tcPr>
            <w:tcW w:w="0" w:type="dxa"/>
            <w:shd w:val="clear" w:color="auto" w:fill="auto"/>
            <w:vAlign w:val="center"/>
          </w:tcPr>
          <w:p w14:paraId="376F1673" w14:textId="5E1B2C85"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1</w:t>
            </w:r>
          </w:p>
        </w:tc>
      </w:tr>
      <w:tr w:rsidR="007575A9" w:rsidRPr="004D70F4" w14:paraId="7ECBD690" w14:textId="77777777" w:rsidTr="0090680E">
        <w:tc>
          <w:tcPr>
            <w:tcW w:w="0" w:type="dxa"/>
            <w:tcBorders>
              <w:bottom w:val="single" w:sz="4" w:space="0" w:color="auto"/>
            </w:tcBorders>
          </w:tcPr>
          <w:p w14:paraId="5E89D2DF" w14:textId="77777777" w:rsidR="007575A9" w:rsidRPr="00C530D6" w:rsidRDefault="007575A9" w:rsidP="0066027B">
            <w:pPr>
              <w:pStyle w:val="Tabletext0"/>
              <w:keepNext/>
              <w:keepLines/>
              <w:jc w:val="left"/>
            </w:pPr>
            <w:r w:rsidRPr="00C530D6">
              <w:t>Total TNBC patients requiring test in mBC</w:t>
            </w:r>
          </w:p>
        </w:tc>
        <w:tc>
          <w:tcPr>
            <w:tcW w:w="0" w:type="dxa"/>
            <w:tcBorders>
              <w:bottom w:val="single" w:sz="4" w:space="0" w:color="auto"/>
            </w:tcBorders>
            <w:shd w:val="clear" w:color="auto" w:fill="auto"/>
            <w:vAlign w:val="center"/>
          </w:tcPr>
          <w:p w14:paraId="686BA6C0" w14:textId="1BDBB46E"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tcBorders>
              <w:bottom w:val="single" w:sz="4" w:space="0" w:color="auto"/>
            </w:tcBorders>
            <w:shd w:val="clear" w:color="auto" w:fill="auto"/>
            <w:vAlign w:val="center"/>
          </w:tcPr>
          <w:p w14:paraId="04E9099E" w14:textId="2869891F"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tcBorders>
              <w:bottom w:val="single" w:sz="4" w:space="0" w:color="auto"/>
            </w:tcBorders>
            <w:shd w:val="clear" w:color="auto" w:fill="auto"/>
            <w:vAlign w:val="center"/>
          </w:tcPr>
          <w:p w14:paraId="7B229B28" w14:textId="6205D09F"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tcBorders>
              <w:bottom w:val="single" w:sz="4" w:space="0" w:color="auto"/>
            </w:tcBorders>
            <w:shd w:val="clear" w:color="auto" w:fill="auto"/>
            <w:vAlign w:val="center"/>
          </w:tcPr>
          <w:p w14:paraId="79A7468A" w14:textId="5B14054E"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tcBorders>
              <w:bottom w:val="single" w:sz="4" w:space="0" w:color="auto"/>
            </w:tcBorders>
            <w:shd w:val="clear" w:color="auto" w:fill="auto"/>
            <w:vAlign w:val="center"/>
          </w:tcPr>
          <w:p w14:paraId="214A0376" w14:textId="1E584E36"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1</w:t>
            </w:r>
          </w:p>
        </w:tc>
        <w:tc>
          <w:tcPr>
            <w:tcW w:w="0" w:type="dxa"/>
            <w:tcBorders>
              <w:bottom w:val="single" w:sz="4" w:space="0" w:color="auto"/>
            </w:tcBorders>
            <w:shd w:val="clear" w:color="auto" w:fill="auto"/>
            <w:vAlign w:val="center"/>
          </w:tcPr>
          <w:p w14:paraId="2F738BED" w14:textId="3ECDE5D7" w:rsidR="007575A9" w:rsidRPr="001559E2"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1</w:t>
            </w:r>
          </w:p>
        </w:tc>
      </w:tr>
      <w:tr w:rsidR="007575A9" w:rsidRPr="004D70F4" w14:paraId="2907375F" w14:textId="77777777" w:rsidTr="0090680E">
        <w:tc>
          <w:tcPr>
            <w:tcW w:w="0" w:type="dxa"/>
            <w:tcBorders>
              <w:right w:val="nil"/>
            </w:tcBorders>
            <w:vAlign w:val="center"/>
          </w:tcPr>
          <w:p w14:paraId="6CF35FDA" w14:textId="77777777" w:rsidR="007575A9" w:rsidRPr="00C530D6" w:rsidRDefault="007575A9" w:rsidP="0066027B">
            <w:pPr>
              <w:pStyle w:val="Tabletext0"/>
              <w:keepNext/>
              <w:keepLines/>
              <w:jc w:val="left"/>
              <w:rPr>
                <w:color w:val="000000"/>
              </w:rPr>
            </w:pPr>
            <w:r w:rsidRPr="00C530D6">
              <w:rPr>
                <w:b/>
              </w:rPr>
              <w:t>HR+ HER2-negative patients</w:t>
            </w:r>
          </w:p>
        </w:tc>
        <w:tc>
          <w:tcPr>
            <w:tcW w:w="0" w:type="dxa"/>
            <w:tcBorders>
              <w:left w:val="nil"/>
              <w:right w:val="nil"/>
            </w:tcBorders>
            <w:shd w:val="clear" w:color="auto" w:fill="auto"/>
            <w:vAlign w:val="center"/>
          </w:tcPr>
          <w:p w14:paraId="4FB10CAE" w14:textId="77777777" w:rsidR="007575A9" w:rsidRPr="0066027B" w:rsidRDefault="007575A9" w:rsidP="00090769">
            <w:pPr>
              <w:pStyle w:val="Tabletext0"/>
              <w:keepNext/>
              <w:keepLines/>
              <w:jc w:val="center"/>
            </w:pPr>
          </w:p>
        </w:tc>
        <w:tc>
          <w:tcPr>
            <w:tcW w:w="0" w:type="dxa"/>
            <w:tcBorders>
              <w:left w:val="nil"/>
              <w:right w:val="nil"/>
            </w:tcBorders>
            <w:shd w:val="clear" w:color="auto" w:fill="auto"/>
            <w:vAlign w:val="center"/>
          </w:tcPr>
          <w:p w14:paraId="56404AFF" w14:textId="77777777" w:rsidR="007575A9" w:rsidRPr="0066027B" w:rsidRDefault="007575A9" w:rsidP="00090769">
            <w:pPr>
              <w:pStyle w:val="Tabletext0"/>
              <w:keepNext/>
              <w:keepLines/>
              <w:jc w:val="center"/>
            </w:pPr>
          </w:p>
        </w:tc>
        <w:tc>
          <w:tcPr>
            <w:tcW w:w="0" w:type="dxa"/>
            <w:tcBorders>
              <w:left w:val="nil"/>
              <w:right w:val="nil"/>
            </w:tcBorders>
            <w:shd w:val="clear" w:color="auto" w:fill="auto"/>
            <w:vAlign w:val="center"/>
          </w:tcPr>
          <w:p w14:paraId="7B8A0607" w14:textId="77777777" w:rsidR="007575A9" w:rsidRPr="0066027B" w:rsidRDefault="007575A9" w:rsidP="00090769">
            <w:pPr>
              <w:pStyle w:val="Tabletext0"/>
              <w:keepNext/>
              <w:keepLines/>
              <w:jc w:val="center"/>
            </w:pPr>
          </w:p>
        </w:tc>
        <w:tc>
          <w:tcPr>
            <w:tcW w:w="0" w:type="dxa"/>
            <w:tcBorders>
              <w:left w:val="nil"/>
              <w:right w:val="nil"/>
            </w:tcBorders>
            <w:shd w:val="clear" w:color="auto" w:fill="auto"/>
            <w:vAlign w:val="center"/>
          </w:tcPr>
          <w:p w14:paraId="7916423C" w14:textId="77777777" w:rsidR="007575A9" w:rsidRPr="0066027B" w:rsidRDefault="007575A9" w:rsidP="00090769">
            <w:pPr>
              <w:pStyle w:val="Tabletext0"/>
              <w:keepNext/>
              <w:keepLines/>
              <w:jc w:val="center"/>
            </w:pPr>
          </w:p>
        </w:tc>
        <w:tc>
          <w:tcPr>
            <w:tcW w:w="0" w:type="dxa"/>
            <w:tcBorders>
              <w:left w:val="nil"/>
              <w:right w:val="nil"/>
            </w:tcBorders>
            <w:shd w:val="clear" w:color="auto" w:fill="auto"/>
            <w:vAlign w:val="center"/>
          </w:tcPr>
          <w:p w14:paraId="65F7F633" w14:textId="77777777" w:rsidR="007575A9" w:rsidRPr="0066027B" w:rsidRDefault="007575A9" w:rsidP="00090769">
            <w:pPr>
              <w:pStyle w:val="Tabletext0"/>
              <w:keepNext/>
              <w:keepLines/>
              <w:jc w:val="center"/>
            </w:pPr>
          </w:p>
        </w:tc>
        <w:tc>
          <w:tcPr>
            <w:tcW w:w="0" w:type="dxa"/>
            <w:tcBorders>
              <w:left w:val="nil"/>
            </w:tcBorders>
            <w:shd w:val="clear" w:color="auto" w:fill="auto"/>
            <w:vAlign w:val="center"/>
          </w:tcPr>
          <w:p w14:paraId="74ACECD9" w14:textId="77777777" w:rsidR="007575A9" w:rsidRPr="0066027B" w:rsidRDefault="007575A9" w:rsidP="00090769">
            <w:pPr>
              <w:pStyle w:val="Tabletext0"/>
              <w:keepNext/>
              <w:keepLines/>
              <w:jc w:val="center"/>
            </w:pPr>
          </w:p>
        </w:tc>
      </w:tr>
      <w:tr w:rsidR="007575A9" w:rsidRPr="004D70F4" w14:paraId="46CB772B" w14:textId="77777777" w:rsidTr="0090680E">
        <w:tc>
          <w:tcPr>
            <w:tcW w:w="0" w:type="dxa"/>
            <w:vAlign w:val="center"/>
          </w:tcPr>
          <w:p w14:paraId="14E3F8A1" w14:textId="77777777" w:rsidR="007575A9" w:rsidRPr="00C530D6" w:rsidRDefault="007575A9" w:rsidP="0066027B">
            <w:pPr>
              <w:pStyle w:val="Tabletext0"/>
              <w:keepNext/>
              <w:keepLines/>
              <w:jc w:val="left"/>
            </w:pPr>
            <w:r w:rsidRPr="0066027B">
              <w:rPr>
                <w:i/>
                <w:iCs/>
                <w:color w:val="000000"/>
              </w:rPr>
              <w:t>De novo</w:t>
            </w:r>
            <w:r w:rsidRPr="00C530D6">
              <w:rPr>
                <w:color w:val="000000"/>
              </w:rPr>
              <w:t xml:space="preserve"> HR+ patients taking up </w:t>
            </w:r>
            <w:r w:rsidRPr="0066027B">
              <w:rPr>
                <w:i/>
                <w:iCs/>
                <w:color w:val="000000"/>
              </w:rPr>
              <w:t>BRCA</w:t>
            </w:r>
            <w:r w:rsidRPr="00C530D6">
              <w:rPr>
                <w:color w:val="000000"/>
              </w:rPr>
              <w:t xml:space="preserve"> testing</w:t>
            </w:r>
          </w:p>
        </w:tc>
        <w:tc>
          <w:tcPr>
            <w:tcW w:w="0" w:type="dxa"/>
            <w:shd w:val="clear" w:color="auto" w:fill="auto"/>
            <w:vAlign w:val="center"/>
          </w:tcPr>
          <w:p w14:paraId="08C5E60C" w14:textId="56156380"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1</w:t>
            </w:r>
          </w:p>
        </w:tc>
        <w:tc>
          <w:tcPr>
            <w:tcW w:w="0" w:type="dxa"/>
            <w:shd w:val="clear" w:color="auto" w:fill="auto"/>
            <w:vAlign w:val="center"/>
          </w:tcPr>
          <w:p w14:paraId="2B171E9F" w14:textId="77DC5B19"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30FE7F72" w14:textId="1B666788"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2E6C0F68" w14:textId="54B9BCFD"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0297DE34" w14:textId="71E78AFE"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17342711" w14:textId="66128B91"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r>
      <w:tr w:rsidR="007575A9" w:rsidRPr="004D70F4" w14:paraId="4B6B0715" w14:textId="77777777" w:rsidTr="0090680E">
        <w:tc>
          <w:tcPr>
            <w:tcW w:w="0" w:type="dxa"/>
            <w:vAlign w:val="center"/>
          </w:tcPr>
          <w:p w14:paraId="06A77BC0" w14:textId="77777777" w:rsidR="007575A9" w:rsidRPr="004D70F4" w:rsidRDefault="007575A9" w:rsidP="0066027B">
            <w:pPr>
              <w:pStyle w:val="Tabletext0"/>
              <w:keepNext/>
              <w:keepLines/>
              <w:jc w:val="left"/>
            </w:pPr>
            <w:r w:rsidRPr="004D70F4">
              <w:rPr>
                <w:color w:val="000000"/>
              </w:rPr>
              <w:t xml:space="preserve">Recurrent HR+ patients taking up </w:t>
            </w:r>
            <w:r w:rsidRPr="0066027B">
              <w:rPr>
                <w:i/>
                <w:iCs/>
                <w:color w:val="000000"/>
              </w:rPr>
              <w:t xml:space="preserve">BRCA </w:t>
            </w:r>
            <w:r w:rsidRPr="004D70F4">
              <w:rPr>
                <w:color w:val="000000"/>
              </w:rPr>
              <w:t xml:space="preserve">testing </w:t>
            </w:r>
          </w:p>
        </w:tc>
        <w:tc>
          <w:tcPr>
            <w:tcW w:w="0" w:type="dxa"/>
            <w:shd w:val="clear" w:color="auto" w:fill="auto"/>
            <w:vAlign w:val="center"/>
          </w:tcPr>
          <w:p w14:paraId="62432108" w14:textId="2523C61D"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44571728" w14:textId="49DCD69E"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5C203EE8" w14:textId="1417DA3C"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5C1A4144" w14:textId="33803F61"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7646B89F" w14:textId="207F6641"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1225B3AF" w14:textId="7706FC59"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r>
      <w:tr w:rsidR="007575A9" w:rsidRPr="004D70F4" w14:paraId="31EA3940" w14:textId="77777777" w:rsidTr="0090680E">
        <w:tc>
          <w:tcPr>
            <w:tcW w:w="0" w:type="dxa"/>
            <w:vAlign w:val="center"/>
          </w:tcPr>
          <w:p w14:paraId="63FB878B" w14:textId="77777777" w:rsidR="007575A9" w:rsidRPr="004D70F4" w:rsidRDefault="007575A9" w:rsidP="0066027B">
            <w:pPr>
              <w:pStyle w:val="Tabletext0"/>
              <w:keepNext/>
              <w:keepLines/>
              <w:jc w:val="left"/>
            </w:pPr>
            <w:r w:rsidRPr="004D70F4">
              <w:rPr>
                <w:color w:val="000000"/>
              </w:rPr>
              <w:t xml:space="preserve">Total number of HR+ patients taking up </w:t>
            </w:r>
            <w:r w:rsidRPr="0066027B">
              <w:rPr>
                <w:i/>
                <w:iCs/>
                <w:color w:val="000000"/>
              </w:rPr>
              <w:t xml:space="preserve">BRCA </w:t>
            </w:r>
            <w:r w:rsidRPr="004D70F4">
              <w:rPr>
                <w:color w:val="000000"/>
              </w:rPr>
              <w:t>testing</w:t>
            </w:r>
          </w:p>
        </w:tc>
        <w:tc>
          <w:tcPr>
            <w:tcW w:w="0" w:type="dxa"/>
            <w:shd w:val="clear" w:color="auto" w:fill="auto"/>
            <w:vAlign w:val="center"/>
          </w:tcPr>
          <w:p w14:paraId="438BD44F" w14:textId="7A581209"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665CBB5B" w14:textId="103B2A78"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0E8C780A" w14:textId="43BF4711"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3DE5D347" w14:textId="1B350EB0"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34E714C0" w14:textId="3FF62F7B"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c>
          <w:tcPr>
            <w:tcW w:w="0" w:type="dxa"/>
            <w:shd w:val="clear" w:color="auto" w:fill="auto"/>
            <w:vAlign w:val="center"/>
          </w:tcPr>
          <w:p w14:paraId="2013C7F1" w14:textId="23C759E1" w:rsidR="007575A9" w:rsidRPr="0066027B" w:rsidRDefault="0090680E" w:rsidP="0066027B">
            <w:pPr>
              <w:pStyle w:val="Tabletext0"/>
              <w:keepNext/>
              <w:keepLines/>
              <w:jc w:val="center"/>
            </w:pPr>
            <w:r w:rsidRPr="0090680E">
              <w:rPr>
                <w:b/>
                <w:bCs/>
                <w:sz w:val="18"/>
                <w:szCs w:val="18"/>
              </w:rPr>
              <w:t>redacted</w:t>
            </w:r>
            <w:r w:rsidR="00C1254C" w:rsidRPr="003B3240">
              <w:rPr>
                <w:sz w:val="18"/>
                <w:szCs w:val="18"/>
                <w:vertAlign w:val="superscript"/>
              </w:rPr>
              <w:t>2</w:t>
            </w:r>
          </w:p>
        </w:tc>
      </w:tr>
      <w:tr w:rsidR="00C1254C" w:rsidRPr="004D70F4" w14:paraId="05021971" w14:textId="77777777" w:rsidTr="0090680E">
        <w:tc>
          <w:tcPr>
            <w:tcW w:w="1480" w:type="dxa"/>
          </w:tcPr>
          <w:p w14:paraId="01A317C8" w14:textId="77777777" w:rsidR="00C1254C" w:rsidRPr="004D70F4" w:rsidRDefault="00C1254C" w:rsidP="00C1254C">
            <w:pPr>
              <w:pStyle w:val="Tabletext0"/>
              <w:keepNext/>
              <w:keepLines/>
              <w:jc w:val="left"/>
              <w:rPr>
                <w:b/>
                <w:bCs/>
              </w:rPr>
            </w:pPr>
            <w:r w:rsidRPr="004D70F4">
              <w:rPr>
                <w:b/>
                <w:bCs/>
              </w:rPr>
              <w:t xml:space="preserve">Total new </w:t>
            </w:r>
            <w:r w:rsidRPr="0066027B">
              <w:rPr>
                <w:b/>
                <w:bCs/>
                <w:i/>
                <w:iCs/>
              </w:rPr>
              <w:t>BRCA</w:t>
            </w:r>
            <w:r w:rsidRPr="004D70F4">
              <w:rPr>
                <w:b/>
                <w:bCs/>
              </w:rPr>
              <w:t xml:space="preserve"> tests</w:t>
            </w:r>
          </w:p>
        </w:tc>
        <w:tc>
          <w:tcPr>
            <w:tcW w:w="1256" w:type="dxa"/>
            <w:shd w:val="clear" w:color="auto" w:fill="auto"/>
          </w:tcPr>
          <w:p w14:paraId="68D40ABA" w14:textId="31CFDCEA" w:rsidR="00C1254C" w:rsidRPr="0066027B" w:rsidRDefault="0090680E" w:rsidP="00C1254C">
            <w:pPr>
              <w:pStyle w:val="Tabletext0"/>
              <w:keepNext/>
              <w:keepLines/>
              <w:jc w:val="center"/>
              <w:rPr>
                <w:b/>
                <w:bCs/>
              </w:rPr>
            </w:pPr>
            <w:r w:rsidRPr="0090680E">
              <w:rPr>
                <w:b/>
                <w:bCs/>
                <w:sz w:val="18"/>
                <w:szCs w:val="18"/>
              </w:rPr>
              <w:t>redacted</w:t>
            </w:r>
            <w:r w:rsidR="00C1254C" w:rsidRPr="00F152A6">
              <w:rPr>
                <w:sz w:val="18"/>
                <w:szCs w:val="18"/>
                <w:vertAlign w:val="superscript"/>
              </w:rPr>
              <w:t>2</w:t>
            </w:r>
          </w:p>
        </w:tc>
        <w:tc>
          <w:tcPr>
            <w:tcW w:w="1256" w:type="dxa"/>
            <w:shd w:val="clear" w:color="auto" w:fill="auto"/>
          </w:tcPr>
          <w:p w14:paraId="29AC6ED2" w14:textId="0E5ABE20" w:rsidR="00C1254C" w:rsidRPr="0066027B" w:rsidRDefault="0090680E" w:rsidP="00C1254C">
            <w:pPr>
              <w:pStyle w:val="Tabletext0"/>
              <w:keepNext/>
              <w:keepLines/>
              <w:jc w:val="center"/>
              <w:rPr>
                <w:b/>
                <w:bCs/>
              </w:rPr>
            </w:pPr>
            <w:r w:rsidRPr="0090680E">
              <w:rPr>
                <w:b/>
                <w:bCs/>
                <w:sz w:val="18"/>
                <w:szCs w:val="18"/>
              </w:rPr>
              <w:t>redacted</w:t>
            </w:r>
            <w:r w:rsidR="00C1254C" w:rsidRPr="00F152A6">
              <w:rPr>
                <w:sz w:val="18"/>
                <w:szCs w:val="18"/>
                <w:vertAlign w:val="superscript"/>
              </w:rPr>
              <w:t>2</w:t>
            </w:r>
          </w:p>
        </w:tc>
        <w:tc>
          <w:tcPr>
            <w:tcW w:w="1256" w:type="dxa"/>
            <w:shd w:val="clear" w:color="auto" w:fill="auto"/>
          </w:tcPr>
          <w:p w14:paraId="572426C9" w14:textId="4A3C7F2E" w:rsidR="00C1254C" w:rsidRPr="0066027B" w:rsidRDefault="0090680E" w:rsidP="00C1254C">
            <w:pPr>
              <w:pStyle w:val="Tabletext0"/>
              <w:keepNext/>
              <w:keepLines/>
              <w:jc w:val="center"/>
              <w:rPr>
                <w:b/>
                <w:bCs/>
              </w:rPr>
            </w:pPr>
            <w:r w:rsidRPr="0090680E">
              <w:rPr>
                <w:b/>
                <w:bCs/>
                <w:sz w:val="18"/>
                <w:szCs w:val="18"/>
              </w:rPr>
              <w:t>redacted</w:t>
            </w:r>
            <w:r w:rsidR="00C1254C" w:rsidRPr="00F152A6">
              <w:rPr>
                <w:sz w:val="18"/>
                <w:szCs w:val="18"/>
                <w:vertAlign w:val="superscript"/>
              </w:rPr>
              <w:t>2</w:t>
            </w:r>
          </w:p>
        </w:tc>
        <w:tc>
          <w:tcPr>
            <w:tcW w:w="1256" w:type="dxa"/>
            <w:shd w:val="clear" w:color="auto" w:fill="auto"/>
          </w:tcPr>
          <w:p w14:paraId="20F0C536" w14:textId="0DE7F256" w:rsidR="00C1254C" w:rsidRPr="0066027B" w:rsidRDefault="0090680E" w:rsidP="00C1254C">
            <w:pPr>
              <w:pStyle w:val="Tabletext0"/>
              <w:keepNext/>
              <w:keepLines/>
              <w:jc w:val="center"/>
              <w:rPr>
                <w:b/>
                <w:bCs/>
              </w:rPr>
            </w:pPr>
            <w:r w:rsidRPr="0090680E">
              <w:rPr>
                <w:b/>
                <w:bCs/>
                <w:sz w:val="18"/>
                <w:szCs w:val="18"/>
              </w:rPr>
              <w:t>redacted</w:t>
            </w:r>
            <w:r w:rsidR="00C1254C" w:rsidRPr="00F152A6">
              <w:rPr>
                <w:sz w:val="18"/>
                <w:szCs w:val="18"/>
                <w:vertAlign w:val="superscript"/>
              </w:rPr>
              <w:t>2</w:t>
            </w:r>
          </w:p>
        </w:tc>
        <w:tc>
          <w:tcPr>
            <w:tcW w:w="1256" w:type="dxa"/>
            <w:shd w:val="clear" w:color="auto" w:fill="auto"/>
          </w:tcPr>
          <w:p w14:paraId="4FCA7A70" w14:textId="164892EE" w:rsidR="00C1254C" w:rsidRPr="0066027B" w:rsidRDefault="0090680E" w:rsidP="00C1254C">
            <w:pPr>
              <w:pStyle w:val="Tabletext0"/>
              <w:keepNext/>
              <w:keepLines/>
              <w:jc w:val="center"/>
              <w:rPr>
                <w:b/>
                <w:bCs/>
              </w:rPr>
            </w:pPr>
            <w:r w:rsidRPr="0090680E">
              <w:rPr>
                <w:b/>
                <w:bCs/>
                <w:sz w:val="18"/>
                <w:szCs w:val="18"/>
              </w:rPr>
              <w:t>redacted</w:t>
            </w:r>
            <w:r w:rsidR="00C1254C" w:rsidRPr="00F152A6">
              <w:rPr>
                <w:sz w:val="18"/>
                <w:szCs w:val="18"/>
                <w:vertAlign w:val="superscript"/>
              </w:rPr>
              <w:t>2</w:t>
            </w:r>
          </w:p>
        </w:tc>
        <w:tc>
          <w:tcPr>
            <w:tcW w:w="1256" w:type="dxa"/>
            <w:shd w:val="clear" w:color="auto" w:fill="auto"/>
          </w:tcPr>
          <w:p w14:paraId="25C80204" w14:textId="79396516" w:rsidR="00C1254C" w:rsidRPr="0066027B" w:rsidRDefault="0090680E" w:rsidP="00C1254C">
            <w:pPr>
              <w:pStyle w:val="Tabletext0"/>
              <w:keepNext/>
              <w:keepLines/>
              <w:jc w:val="center"/>
              <w:rPr>
                <w:b/>
                <w:bCs/>
              </w:rPr>
            </w:pPr>
            <w:r w:rsidRPr="0090680E">
              <w:rPr>
                <w:b/>
                <w:bCs/>
                <w:sz w:val="18"/>
                <w:szCs w:val="18"/>
              </w:rPr>
              <w:t>redacted</w:t>
            </w:r>
            <w:r w:rsidR="00C1254C" w:rsidRPr="00F152A6">
              <w:rPr>
                <w:sz w:val="18"/>
                <w:szCs w:val="18"/>
                <w:vertAlign w:val="superscript"/>
              </w:rPr>
              <w:t>2</w:t>
            </w:r>
          </w:p>
        </w:tc>
      </w:tr>
      <w:tr w:rsidR="00C1254C" w:rsidRPr="004D70F4" w14:paraId="0D2D5F69" w14:textId="77777777" w:rsidTr="0090680E">
        <w:tc>
          <w:tcPr>
            <w:tcW w:w="0" w:type="dxa"/>
          </w:tcPr>
          <w:p w14:paraId="3C96AA31" w14:textId="77777777" w:rsidR="00C1254C" w:rsidRPr="004D70F4" w:rsidRDefault="00C1254C" w:rsidP="00C1254C">
            <w:pPr>
              <w:pStyle w:val="Tabletext0"/>
              <w:keepNext/>
              <w:keepLines/>
              <w:jc w:val="left"/>
              <w:rPr>
                <w:i/>
                <w:iCs/>
              </w:rPr>
            </w:pPr>
            <w:r w:rsidRPr="004D70F4">
              <w:rPr>
                <w:i/>
                <w:iCs/>
              </w:rPr>
              <w:t xml:space="preserve">De novo </w:t>
            </w:r>
            <w:r w:rsidRPr="0066027B">
              <w:t>patients only</w:t>
            </w:r>
          </w:p>
        </w:tc>
        <w:tc>
          <w:tcPr>
            <w:tcW w:w="0" w:type="dxa"/>
            <w:shd w:val="clear" w:color="auto" w:fill="auto"/>
          </w:tcPr>
          <w:p w14:paraId="7B0BDEBB" w14:textId="29E7F8C7" w:rsidR="00C1254C" w:rsidRPr="0066027B" w:rsidRDefault="0090680E" w:rsidP="00C1254C">
            <w:pPr>
              <w:pStyle w:val="Tabletext0"/>
              <w:keepNext/>
              <w:keepLines/>
              <w:jc w:val="center"/>
            </w:pPr>
            <w:r w:rsidRPr="0090680E">
              <w:rPr>
                <w:b/>
                <w:bCs/>
                <w:sz w:val="18"/>
                <w:szCs w:val="18"/>
              </w:rPr>
              <w:t>redacted</w:t>
            </w:r>
            <w:r w:rsidR="00C1254C" w:rsidRPr="00DE31D2">
              <w:rPr>
                <w:sz w:val="18"/>
                <w:szCs w:val="18"/>
                <w:vertAlign w:val="superscript"/>
              </w:rPr>
              <w:t>2</w:t>
            </w:r>
          </w:p>
        </w:tc>
        <w:tc>
          <w:tcPr>
            <w:tcW w:w="0" w:type="dxa"/>
            <w:shd w:val="clear" w:color="auto" w:fill="auto"/>
          </w:tcPr>
          <w:p w14:paraId="116CB056" w14:textId="433FA077" w:rsidR="00C1254C" w:rsidRPr="0066027B" w:rsidRDefault="0090680E" w:rsidP="00C1254C">
            <w:pPr>
              <w:pStyle w:val="Tabletext0"/>
              <w:keepNext/>
              <w:keepLines/>
              <w:jc w:val="center"/>
            </w:pPr>
            <w:r w:rsidRPr="0090680E">
              <w:rPr>
                <w:b/>
                <w:bCs/>
                <w:sz w:val="18"/>
                <w:szCs w:val="18"/>
              </w:rPr>
              <w:t>redacted</w:t>
            </w:r>
            <w:r w:rsidR="00C1254C" w:rsidRPr="00DE31D2">
              <w:rPr>
                <w:sz w:val="18"/>
                <w:szCs w:val="18"/>
                <w:vertAlign w:val="superscript"/>
              </w:rPr>
              <w:t>2</w:t>
            </w:r>
          </w:p>
        </w:tc>
        <w:tc>
          <w:tcPr>
            <w:tcW w:w="0" w:type="dxa"/>
            <w:shd w:val="clear" w:color="auto" w:fill="auto"/>
          </w:tcPr>
          <w:p w14:paraId="11B58539" w14:textId="7AFBDB94" w:rsidR="00C1254C" w:rsidRPr="0066027B" w:rsidRDefault="0090680E" w:rsidP="00C1254C">
            <w:pPr>
              <w:pStyle w:val="Tabletext0"/>
              <w:keepNext/>
              <w:keepLines/>
              <w:jc w:val="center"/>
            </w:pPr>
            <w:r w:rsidRPr="0090680E">
              <w:rPr>
                <w:b/>
                <w:bCs/>
                <w:sz w:val="18"/>
                <w:szCs w:val="18"/>
              </w:rPr>
              <w:t>redacted</w:t>
            </w:r>
            <w:r w:rsidR="00C1254C" w:rsidRPr="00DE31D2">
              <w:rPr>
                <w:sz w:val="18"/>
                <w:szCs w:val="18"/>
                <w:vertAlign w:val="superscript"/>
              </w:rPr>
              <w:t>2</w:t>
            </w:r>
          </w:p>
        </w:tc>
        <w:tc>
          <w:tcPr>
            <w:tcW w:w="0" w:type="dxa"/>
            <w:shd w:val="clear" w:color="auto" w:fill="auto"/>
          </w:tcPr>
          <w:p w14:paraId="7BC49519" w14:textId="2B23C19D" w:rsidR="00C1254C" w:rsidRPr="0066027B" w:rsidRDefault="0090680E" w:rsidP="00C1254C">
            <w:pPr>
              <w:pStyle w:val="Tabletext0"/>
              <w:keepNext/>
              <w:keepLines/>
              <w:jc w:val="center"/>
            </w:pPr>
            <w:r w:rsidRPr="0090680E">
              <w:rPr>
                <w:b/>
                <w:bCs/>
                <w:sz w:val="18"/>
                <w:szCs w:val="18"/>
              </w:rPr>
              <w:t>redacted</w:t>
            </w:r>
            <w:r w:rsidR="00C1254C" w:rsidRPr="00DE31D2">
              <w:rPr>
                <w:sz w:val="18"/>
                <w:szCs w:val="18"/>
                <w:vertAlign w:val="superscript"/>
              </w:rPr>
              <w:t>2</w:t>
            </w:r>
          </w:p>
        </w:tc>
        <w:tc>
          <w:tcPr>
            <w:tcW w:w="0" w:type="dxa"/>
            <w:shd w:val="clear" w:color="auto" w:fill="auto"/>
          </w:tcPr>
          <w:p w14:paraId="3F98E588" w14:textId="15C77FD3" w:rsidR="00C1254C" w:rsidRPr="0066027B" w:rsidRDefault="0090680E" w:rsidP="00C1254C">
            <w:pPr>
              <w:pStyle w:val="Tabletext0"/>
              <w:keepNext/>
              <w:keepLines/>
              <w:jc w:val="center"/>
            </w:pPr>
            <w:r w:rsidRPr="0090680E">
              <w:rPr>
                <w:b/>
                <w:bCs/>
                <w:sz w:val="18"/>
                <w:szCs w:val="18"/>
              </w:rPr>
              <w:t>redacted</w:t>
            </w:r>
            <w:r w:rsidR="00C1254C" w:rsidRPr="00DE31D2">
              <w:rPr>
                <w:sz w:val="18"/>
                <w:szCs w:val="18"/>
                <w:vertAlign w:val="superscript"/>
              </w:rPr>
              <w:t>2</w:t>
            </w:r>
          </w:p>
        </w:tc>
        <w:tc>
          <w:tcPr>
            <w:tcW w:w="0" w:type="dxa"/>
            <w:shd w:val="clear" w:color="auto" w:fill="auto"/>
          </w:tcPr>
          <w:p w14:paraId="67AA5936" w14:textId="217F88B0" w:rsidR="00C1254C" w:rsidRPr="0066027B" w:rsidRDefault="0090680E" w:rsidP="00C1254C">
            <w:pPr>
              <w:pStyle w:val="Tabletext0"/>
              <w:keepNext/>
              <w:keepLines/>
              <w:jc w:val="center"/>
            </w:pPr>
            <w:r w:rsidRPr="0090680E">
              <w:rPr>
                <w:b/>
                <w:bCs/>
                <w:sz w:val="18"/>
                <w:szCs w:val="18"/>
              </w:rPr>
              <w:t>redacted</w:t>
            </w:r>
            <w:r w:rsidR="00C1254C" w:rsidRPr="00DE31D2">
              <w:rPr>
                <w:sz w:val="18"/>
                <w:szCs w:val="18"/>
                <w:vertAlign w:val="superscript"/>
              </w:rPr>
              <w:t>2</w:t>
            </w:r>
          </w:p>
        </w:tc>
      </w:tr>
    </w:tbl>
    <w:p w14:paraId="20B1FD1D" w14:textId="77777777" w:rsidR="007575A9" w:rsidRPr="004D70F4" w:rsidRDefault="007575A9" w:rsidP="007575A9">
      <w:pPr>
        <w:pStyle w:val="FooterTableFigure"/>
        <w:keepNext/>
        <w:keepLines/>
      </w:pPr>
      <w:r w:rsidRPr="004D70F4">
        <w:t xml:space="preserve"> Source: Table 4.22 and 4.23, pp171-172 of the submission and attached financial spreadsheet. </w:t>
      </w:r>
    </w:p>
    <w:p w14:paraId="6747FD53" w14:textId="77777777" w:rsidR="007575A9" w:rsidRDefault="007575A9" w:rsidP="007575A9">
      <w:pPr>
        <w:pStyle w:val="FooterTableFigure"/>
        <w:keepNext/>
        <w:keepLines/>
      </w:pPr>
      <w:r w:rsidRPr="004D70F4">
        <w:t>HR+ = hormone receptor positive; TNBC = triple negative breast cancer</w:t>
      </w:r>
    </w:p>
    <w:p w14:paraId="522666FA" w14:textId="34AB82E8" w:rsidR="0088429B" w:rsidRPr="0090680E" w:rsidRDefault="0088429B" w:rsidP="007575A9">
      <w:pPr>
        <w:pStyle w:val="FooterTableFigure"/>
        <w:keepNext/>
        <w:keepLines/>
        <w:rPr>
          <w:i/>
          <w:iCs/>
        </w:rPr>
      </w:pPr>
      <w:r w:rsidRPr="0090680E">
        <w:rPr>
          <w:i/>
          <w:iCs/>
        </w:rPr>
        <w:t xml:space="preserve">The </w:t>
      </w:r>
      <w:r w:rsidR="0090680E" w:rsidRPr="0090680E">
        <w:rPr>
          <w:b/>
          <w:bCs/>
          <w:i/>
          <w:iCs/>
        </w:rPr>
        <w:t>redacted</w:t>
      </w:r>
      <w:r w:rsidRPr="0090680E">
        <w:rPr>
          <w:i/>
          <w:iCs/>
        </w:rPr>
        <w:t xml:space="preserve"> values correspond to the following ranges</w:t>
      </w:r>
    </w:p>
    <w:p w14:paraId="539F1316" w14:textId="77777777" w:rsidR="00BE0028" w:rsidRPr="00BE0028" w:rsidRDefault="004B6CCA" w:rsidP="007575A9">
      <w:pPr>
        <w:pStyle w:val="FooterTableFigure"/>
        <w:keepNext/>
        <w:keepLines/>
        <w:rPr>
          <w:i/>
          <w:iCs/>
        </w:rPr>
      </w:pPr>
      <w:r w:rsidRPr="0090680E">
        <w:rPr>
          <w:i/>
          <w:iCs/>
          <w:vertAlign w:val="superscript"/>
        </w:rPr>
        <w:t>1</w:t>
      </w:r>
      <w:r w:rsidRPr="0090680E">
        <w:rPr>
          <w:i/>
          <w:iCs/>
        </w:rPr>
        <w:t>&lt; 500</w:t>
      </w:r>
      <w:r w:rsidR="0088429B" w:rsidRPr="00BE0028">
        <w:rPr>
          <w:i/>
          <w:iCs/>
        </w:rPr>
        <w:t xml:space="preserve"> </w:t>
      </w:r>
    </w:p>
    <w:p w14:paraId="38E80337" w14:textId="5C86C76F" w:rsidR="004B6CCA" w:rsidRPr="0090680E" w:rsidRDefault="00BE0028" w:rsidP="007575A9">
      <w:pPr>
        <w:pStyle w:val="FooterTableFigure"/>
        <w:keepNext/>
        <w:keepLines/>
        <w:rPr>
          <w:i/>
          <w:iCs/>
        </w:rPr>
      </w:pPr>
      <w:r w:rsidRPr="0090680E">
        <w:rPr>
          <w:i/>
          <w:iCs/>
          <w:vertAlign w:val="superscript"/>
        </w:rPr>
        <w:t xml:space="preserve">2 </w:t>
      </w:r>
      <w:r w:rsidRPr="0090680E">
        <w:rPr>
          <w:i/>
          <w:iCs/>
        </w:rPr>
        <w:t>500 to &lt; 5,000</w:t>
      </w:r>
      <w:r w:rsidR="004B6CCA" w:rsidRPr="0090680E">
        <w:rPr>
          <w:i/>
          <w:iCs/>
        </w:rPr>
        <w:t xml:space="preserve"> </w:t>
      </w:r>
    </w:p>
    <w:p w14:paraId="2BADF570" w14:textId="1693C1D4" w:rsidR="007575A9" w:rsidRPr="007575A9" w:rsidRDefault="007575A9" w:rsidP="007575A9">
      <w:r w:rsidRPr="007575A9">
        <w:t>The submission assumed a test cost of $1,200 based on Item 73295 for g</w:t>
      </w:r>
      <w:r w:rsidRPr="0066027B">
        <w:rPr>
          <w:i/>
          <w:iCs/>
        </w:rPr>
        <w:t>BRCA</w:t>
      </w:r>
      <w:r w:rsidRPr="007575A9">
        <w:t xml:space="preserve"> test and applied a MBS rebate of 80%. </w:t>
      </w:r>
      <w:r w:rsidR="00550A41">
        <w:t xml:space="preserve">This was not appropriate as </w:t>
      </w:r>
      <w:r w:rsidR="00A05F84">
        <w:t xml:space="preserve">the </w:t>
      </w:r>
      <w:r w:rsidR="00550A41">
        <w:t xml:space="preserve">Greatest permissible gap (GPG) of $98.70 </w:t>
      </w:r>
      <w:r w:rsidR="00550A41">
        <w:lastRenderedPageBreak/>
        <w:t>applies. Consequently, app</w:t>
      </w:r>
      <w:r w:rsidR="00C07251">
        <w:t>lying an 80% re</w:t>
      </w:r>
      <w:r w:rsidR="00450413">
        <w:t>b</w:t>
      </w:r>
      <w:r w:rsidR="00C07251">
        <w:t>ate</w:t>
      </w:r>
      <w:r w:rsidR="00450413">
        <w:t xml:space="preserve"> (</w:t>
      </w:r>
      <w:r w:rsidR="00090769">
        <w:t>c</w:t>
      </w:r>
      <w:r w:rsidR="00450413">
        <w:t xml:space="preserve">ost of $960 to the MBS) </w:t>
      </w:r>
      <w:r w:rsidR="008E29DB">
        <w:t xml:space="preserve">underestimated </w:t>
      </w:r>
      <w:r w:rsidR="00C07251">
        <w:t>costs to the MBS</w:t>
      </w:r>
      <w:r w:rsidR="00450413">
        <w:t xml:space="preserve"> compared to </w:t>
      </w:r>
      <w:r w:rsidR="00090769">
        <w:t xml:space="preserve">a </w:t>
      </w:r>
      <w:r w:rsidR="00450413">
        <w:t xml:space="preserve">cost </w:t>
      </w:r>
      <w:r w:rsidR="00090769">
        <w:t xml:space="preserve">considering </w:t>
      </w:r>
      <w:r w:rsidR="00450413">
        <w:t xml:space="preserve">GPG ($1,101.30) </w:t>
      </w:r>
      <w:r w:rsidR="00C07251">
        <w:t xml:space="preserve">by </w:t>
      </w:r>
      <w:r w:rsidR="00450413">
        <w:t>$141.30</w:t>
      </w:r>
      <w:r w:rsidR="00C07251">
        <w:t xml:space="preserve"> per </w:t>
      </w:r>
      <w:r w:rsidR="00450413">
        <w:t>test.</w:t>
      </w:r>
      <w:r w:rsidR="00A05F84">
        <w:t xml:space="preserve"> MBS costs adjusted for GPG have been calculated and are presented alongside the financial estimates. </w:t>
      </w:r>
      <w:r w:rsidR="00F22360">
        <w:t>Additionally, the submission did not consider the costs of cascade testing, underestimating the costs of testing.</w:t>
      </w:r>
    </w:p>
    <w:p w14:paraId="4BAD8900" w14:textId="721A46DC" w:rsidR="007575A9" w:rsidRPr="007575A9" w:rsidRDefault="00C811C0" w:rsidP="00090769">
      <w:r>
        <w:fldChar w:fldCharType="begin"/>
      </w:r>
      <w:r>
        <w:instrText xml:space="preserve"> REF _Ref167111245 \h </w:instrText>
      </w:r>
      <w:r w:rsidR="00090769">
        <w:instrText xml:space="preserve"> \* MERGEFORMAT </w:instrText>
      </w:r>
      <w:r>
        <w:fldChar w:fldCharType="separate"/>
      </w:r>
      <w:r w:rsidR="00325DE1" w:rsidRPr="00C811C0">
        <w:t xml:space="preserve">Table </w:t>
      </w:r>
      <w:r w:rsidR="00325DE1">
        <w:t>18</w:t>
      </w:r>
      <w:r>
        <w:fldChar w:fldCharType="end"/>
      </w:r>
      <w:r>
        <w:t xml:space="preserve"> </w:t>
      </w:r>
      <w:r w:rsidR="007575A9" w:rsidRPr="007575A9">
        <w:t xml:space="preserve">presents the estimated use and financial implications in the submission. During the evaluation, two errors were identified. First, the submission financial spreadsheet assumed no usage of </w:t>
      </w:r>
      <w:r w:rsidR="007575A9" w:rsidRPr="007575A9" w:rsidDel="00B331A1">
        <w:t>olaparib</w:t>
      </w:r>
      <w:r w:rsidR="007575A9" w:rsidRPr="007575A9">
        <w:t xml:space="preserve"> in HR+ </w:t>
      </w:r>
      <w:r w:rsidR="007575A9" w:rsidRPr="0066027B">
        <w:rPr>
          <w:i/>
          <w:iCs/>
        </w:rPr>
        <w:t>de novo</w:t>
      </w:r>
      <w:r w:rsidR="007575A9" w:rsidRPr="007575A9">
        <w:t xml:space="preserve"> patients. Second, Cell H111 of the 2d. Patients DTG worksheet included the word “remove” instead of the appropriate number [3] in the cell. Both of these errors were addressed and corrected results are presented below. </w:t>
      </w:r>
    </w:p>
    <w:p w14:paraId="32AB0209" w14:textId="606BF911" w:rsidR="007575A9" w:rsidRPr="00C811C0" w:rsidRDefault="007575A9" w:rsidP="007575A9">
      <w:pPr>
        <w:pStyle w:val="Caption"/>
      </w:pPr>
      <w:bookmarkStart w:id="51" w:name="_Ref167111245"/>
      <w:r w:rsidRPr="00C811C0">
        <w:t xml:space="preserve">Table </w:t>
      </w:r>
      <w:r w:rsidR="008F6B43">
        <w:fldChar w:fldCharType="begin"/>
      </w:r>
      <w:r w:rsidR="008F6B43">
        <w:instrText xml:space="preserve"> SEQ Table \* ARABIC </w:instrText>
      </w:r>
      <w:r w:rsidR="008F6B43">
        <w:fldChar w:fldCharType="separate"/>
      </w:r>
      <w:r w:rsidR="00325DE1">
        <w:rPr>
          <w:noProof/>
        </w:rPr>
        <w:t>18</w:t>
      </w:r>
      <w:r w:rsidR="008F6B43">
        <w:rPr>
          <w:noProof/>
        </w:rPr>
        <w:fldChar w:fldCharType="end"/>
      </w:r>
      <w:bookmarkEnd w:id="51"/>
      <w:r w:rsidRPr="00C811C0">
        <w:t>:</w:t>
      </w:r>
      <w:r w:rsidRPr="00C811C0">
        <w:rPr>
          <w:rStyle w:val="CommentReference"/>
          <w:sz w:val="20"/>
          <w:szCs w:val="20"/>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7"/>
        <w:gridCol w:w="1134"/>
        <w:gridCol w:w="1134"/>
        <w:gridCol w:w="1134"/>
        <w:gridCol w:w="1132"/>
        <w:gridCol w:w="1093"/>
        <w:gridCol w:w="1122"/>
      </w:tblGrid>
      <w:tr w:rsidR="000642BF" w:rsidRPr="00026770" w14:paraId="10F1D7C6" w14:textId="77777777" w:rsidTr="0042114F">
        <w:trPr>
          <w:tblHeader/>
        </w:trPr>
        <w:tc>
          <w:tcPr>
            <w:tcW w:w="1257" w:type="pct"/>
            <w:shd w:val="clear" w:color="auto" w:fill="auto"/>
            <w:vAlign w:val="center"/>
          </w:tcPr>
          <w:p w14:paraId="6579D5A7" w14:textId="77777777" w:rsidR="007575A9" w:rsidRPr="00026770" w:rsidRDefault="007575A9" w:rsidP="00583870">
            <w:pPr>
              <w:pStyle w:val="In-tableHeading"/>
              <w:jc w:val="center"/>
              <w:rPr>
                <w:szCs w:val="20"/>
                <w:lang w:val="en-AU"/>
              </w:rPr>
            </w:pPr>
          </w:p>
        </w:tc>
        <w:tc>
          <w:tcPr>
            <w:tcW w:w="629" w:type="pct"/>
            <w:shd w:val="clear" w:color="auto" w:fill="auto"/>
            <w:vAlign w:val="center"/>
          </w:tcPr>
          <w:p w14:paraId="0E066553" w14:textId="77777777" w:rsidR="007575A9" w:rsidRPr="00026770" w:rsidRDefault="007575A9" w:rsidP="00583870">
            <w:pPr>
              <w:pStyle w:val="In-tableHeading"/>
              <w:jc w:val="center"/>
              <w:rPr>
                <w:szCs w:val="20"/>
                <w:lang w:val="en-AU"/>
              </w:rPr>
            </w:pPr>
            <w:r w:rsidRPr="00026770">
              <w:rPr>
                <w:szCs w:val="20"/>
                <w:lang w:val="en-AU"/>
              </w:rPr>
              <w:t>Year 1</w:t>
            </w:r>
          </w:p>
        </w:tc>
        <w:tc>
          <w:tcPr>
            <w:tcW w:w="629" w:type="pct"/>
            <w:shd w:val="clear" w:color="auto" w:fill="auto"/>
            <w:vAlign w:val="center"/>
          </w:tcPr>
          <w:p w14:paraId="2669EC15" w14:textId="77777777" w:rsidR="007575A9" w:rsidRPr="00026770" w:rsidRDefault="007575A9" w:rsidP="00583870">
            <w:pPr>
              <w:pStyle w:val="In-tableHeading"/>
              <w:jc w:val="center"/>
              <w:rPr>
                <w:szCs w:val="20"/>
                <w:lang w:val="en-AU"/>
              </w:rPr>
            </w:pPr>
            <w:r w:rsidRPr="00026770">
              <w:rPr>
                <w:szCs w:val="20"/>
                <w:lang w:val="en-AU"/>
              </w:rPr>
              <w:t>Year 2</w:t>
            </w:r>
          </w:p>
        </w:tc>
        <w:tc>
          <w:tcPr>
            <w:tcW w:w="629" w:type="pct"/>
            <w:shd w:val="clear" w:color="auto" w:fill="auto"/>
            <w:vAlign w:val="center"/>
          </w:tcPr>
          <w:p w14:paraId="4892ADAE" w14:textId="77777777" w:rsidR="007575A9" w:rsidRPr="00026770" w:rsidRDefault="007575A9" w:rsidP="00583870">
            <w:pPr>
              <w:pStyle w:val="In-tableHeading"/>
              <w:jc w:val="center"/>
              <w:rPr>
                <w:szCs w:val="20"/>
                <w:lang w:val="en-AU"/>
              </w:rPr>
            </w:pPr>
            <w:r w:rsidRPr="00026770">
              <w:rPr>
                <w:szCs w:val="20"/>
                <w:lang w:val="en-AU"/>
              </w:rPr>
              <w:t>Year 3</w:t>
            </w:r>
          </w:p>
        </w:tc>
        <w:tc>
          <w:tcPr>
            <w:tcW w:w="628" w:type="pct"/>
            <w:shd w:val="clear" w:color="auto" w:fill="auto"/>
            <w:vAlign w:val="center"/>
          </w:tcPr>
          <w:p w14:paraId="3E1DD410" w14:textId="77777777" w:rsidR="007575A9" w:rsidRPr="00026770" w:rsidRDefault="007575A9" w:rsidP="00583870">
            <w:pPr>
              <w:pStyle w:val="In-tableHeading"/>
              <w:jc w:val="center"/>
              <w:rPr>
                <w:szCs w:val="20"/>
                <w:lang w:val="en-AU"/>
              </w:rPr>
            </w:pPr>
            <w:r w:rsidRPr="00026770">
              <w:rPr>
                <w:szCs w:val="20"/>
                <w:lang w:val="en-AU"/>
              </w:rPr>
              <w:t>Year 4</w:t>
            </w:r>
          </w:p>
        </w:tc>
        <w:tc>
          <w:tcPr>
            <w:tcW w:w="606" w:type="pct"/>
            <w:shd w:val="clear" w:color="auto" w:fill="auto"/>
            <w:vAlign w:val="center"/>
          </w:tcPr>
          <w:p w14:paraId="195D3A37" w14:textId="77777777" w:rsidR="007575A9" w:rsidRPr="00026770" w:rsidRDefault="007575A9" w:rsidP="00583870">
            <w:pPr>
              <w:pStyle w:val="In-tableHeading"/>
              <w:jc w:val="center"/>
              <w:rPr>
                <w:szCs w:val="20"/>
                <w:lang w:val="en-AU"/>
              </w:rPr>
            </w:pPr>
            <w:r w:rsidRPr="00026770">
              <w:rPr>
                <w:szCs w:val="20"/>
                <w:lang w:val="en-AU"/>
              </w:rPr>
              <w:t>Year 5</w:t>
            </w:r>
          </w:p>
        </w:tc>
        <w:tc>
          <w:tcPr>
            <w:tcW w:w="622" w:type="pct"/>
          </w:tcPr>
          <w:p w14:paraId="288EFFA3" w14:textId="77777777" w:rsidR="007575A9" w:rsidRPr="00026770" w:rsidRDefault="007575A9" w:rsidP="00583870">
            <w:pPr>
              <w:pStyle w:val="In-tableHeading"/>
              <w:jc w:val="center"/>
              <w:rPr>
                <w:szCs w:val="20"/>
                <w:lang w:val="en-AU"/>
              </w:rPr>
            </w:pPr>
            <w:r w:rsidRPr="00026770">
              <w:rPr>
                <w:szCs w:val="20"/>
                <w:lang w:val="en-AU"/>
              </w:rPr>
              <w:t>Year 6</w:t>
            </w:r>
          </w:p>
        </w:tc>
      </w:tr>
      <w:tr w:rsidR="007575A9" w:rsidRPr="00026770" w14:paraId="08E6BA8C" w14:textId="77777777" w:rsidTr="00B7491D">
        <w:tc>
          <w:tcPr>
            <w:tcW w:w="5000" w:type="pct"/>
            <w:gridSpan w:val="7"/>
            <w:shd w:val="clear" w:color="auto" w:fill="auto"/>
            <w:vAlign w:val="center"/>
          </w:tcPr>
          <w:p w14:paraId="28EF8C51" w14:textId="77777777" w:rsidR="007575A9" w:rsidRPr="00026770" w:rsidRDefault="007575A9" w:rsidP="00583870">
            <w:pPr>
              <w:pStyle w:val="In-tableHeading"/>
              <w:rPr>
                <w:bCs/>
                <w:color w:val="000000"/>
                <w:szCs w:val="20"/>
                <w:lang w:val="en-AU"/>
              </w:rPr>
            </w:pPr>
            <w:r w:rsidRPr="00026770">
              <w:rPr>
                <w:bCs/>
                <w:color w:val="000000"/>
                <w:szCs w:val="20"/>
                <w:lang w:val="en-AU"/>
              </w:rPr>
              <w:t>Estimated extent of use</w:t>
            </w:r>
            <w:r>
              <w:rPr>
                <w:bCs/>
                <w:color w:val="000000"/>
                <w:szCs w:val="20"/>
                <w:lang w:val="en-AU"/>
              </w:rPr>
              <w:t xml:space="preserve"> </w:t>
            </w:r>
            <w:r>
              <w:rPr>
                <w:bCs/>
                <w:color w:val="000000"/>
                <w:szCs w:val="20"/>
              </w:rPr>
              <w:t>of olaparib</w:t>
            </w:r>
          </w:p>
        </w:tc>
      </w:tr>
      <w:tr w:rsidR="007575A9" w:rsidRPr="00026770" w14:paraId="1272C018" w14:textId="77777777" w:rsidTr="00B7491D">
        <w:tc>
          <w:tcPr>
            <w:tcW w:w="5000" w:type="pct"/>
            <w:gridSpan w:val="7"/>
            <w:shd w:val="clear" w:color="auto" w:fill="auto"/>
            <w:vAlign w:val="center"/>
          </w:tcPr>
          <w:p w14:paraId="168F4C67" w14:textId="77777777" w:rsidR="007575A9" w:rsidRPr="00026770" w:rsidRDefault="007575A9" w:rsidP="00583870">
            <w:pPr>
              <w:pStyle w:val="TableText"/>
              <w:rPr>
                <w:b/>
                <w:bCs/>
                <w:color w:val="000000"/>
                <w:szCs w:val="20"/>
              </w:rPr>
            </w:pPr>
            <w:r w:rsidRPr="00026770">
              <w:rPr>
                <w:b/>
                <w:szCs w:val="20"/>
              </w:rPr>
              <w:t>TNBC patients</w:t>
            </w:r>
          </w:p>
        </w:tc>
      </w:tr>
      <w:tr w:rsidR="000642BF" w:rsidRPr="00026770" w14:paraId="77B16735" w14:textId="77777777" w:rsidTr="0090680E">
        <w:tc>
          <w:tcPr>
            <w:tcW w:w="1257" w:type="pct"/>
            <w:shd w:val="clear" w:color="auto" w:fill="auto"/>
          </w:tcPr>
          <w:p w14:paraId="574026CB" w14:textId="77777777" w:rsidR="007575A9" w:rsidRPr="00026770" w:rsidRDefault="007575A9" w:rsidP="00583870">
            <w:pPr>
              <w:pStyle w:val="TableText"/>
              <w:rPr>
                <w:szCs w:val="20"/>
              </w:rPr>
            </w:pPr>
            <w:r w:rsidRPr="00026770">
              <w:rPr>
                <w:szCs w:val="20"/>
              </w:rPr>
              <w:t xml:space="preserve">Recurrent </w:t>
            </w:r>
          </w:p>
        </w:tc>
        <w:tc>
          <w:tcPr>
            <w:tcW w:w="629" w:type="pct"/>
            <w:shd w:val="clear" w:color="auto" w:fill="auto"/>
            <w:vAlign w:val="center"/>
          </w:tcPr>
          <w:p w14:paraId="531D1DED" w14:textId="32C9D640" w:rsidR="007575A9" w:rsidRPr="00C530D6" w:rsidRDefault="0090680E" w:rsidP="00583870">
            <w:pPr>
              <w:pStyle w:val="TableText"/>
              <w:jc w:val="center"/>
              <w:rPr>
                <w:i/>
                <w:iCs/>
                <w:szCs w:val="20"/>
              </w:rPr>
            </w:pPr>
            <w:r w:rsidRPr="0090680E">
              <w:rPr>
                <w:b/>
                <w:bCs/>
                <w:szCs w:val="20"/>
              </w:rPr>
              <w:t>redacted</w:t>
            </w:r>
            <w:r w:rsidR="00535ACD" w:rsidRPr="0090680E">
              <w:rPr>
                <w:szCs w:val="20"/>
                <w:vertAlign w:val="superscript"/>
              </w:rPr>
              <w:t>1</w:t>
            </w:r>
          </w:p>
        </w:tc>
        <w:tc>
          <w:tcPr>
            <w:tcW w:w="629" w:type="pct"/>
            <w:shd w:val="clear" w:color="auto" w:fill="auto"/>
            <w:vAlign w:val="center"/>
          </w:tcPr>
          <w:p w14:paraId="1F11E152" w14:textId="042D122C"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0BFDC090" w14:textId="501EC8F2"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8" w:type="pct"/>
            <w:shd w:val="clear" w:color="auto" w:fill="auto"/>
            <w:vAlign w:val="center"/>
          </w:tcPr>
          <w:p w14:paraId="20D10984" w14:textId="480FD723"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06" w:type="pct"/>
            <w:shd w:val="clear" w:color="auto" w:fill="auto"/>
            <w:vAlign w:val="center"/>
          </w:tcPr>
          <w:p w14:paraId="0E66BF15" w14:textId="22BD30C9"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2" w:type="pct"/>
            <w:shd w:val="clear" w:color="auto" w:fill="auto"/>
            <w:vAlign w:val="center"/>
          </w:tcPr>
          <w:p w14:paraId="16BD4FF7" w14:textId="4F05450B"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r>
      <w:tr w:rsidR="000642BF" w:rsidRPr="00026770" w14:paraId="378AA2C0" w14:textId="77777777" w:rsidTr="0090680E">
        <w:tc>
          <w:tcPr>
            <w:tcW w:w="1257" w:type="pct"/>
            <w:shd w:val="clear" w:color="auto" w:fill="auto"/>
          </w:tcPr>
          <w:p w14:paraId="6BD14A19" w14:textId="77777777" w:rsidR="007575A9" w:rsidRPr="0066027B" w:rsidRDefault="007575A9" w:rsidP="00583870">
            <w:pPr>
              <w:pStyle w:val="TableText"/>
              <w:rPr>
                <w:i/>
                <w:iCs/>
                <w:szCs w:val="20"/>
              </w:rPr>
            </w:pPr>
            <w:r w:rsidRPr="0066027B">
              <w:rPr>
                <w:i/>
                <w:iCs/>
                <w:szCs w:val="20"/>
              </w:rPr>
              <w:t xml:space="preserve">De novo </w:t>
            </w:r>
          </w:p>
        </w:tc>
        <w:tc>
          <w:tcPr>
            <w:tcW w:w="629" w:type="pct"/>
            <w:shd w:val="clear" w:color="auto" w:fill="auto"/>
            <w:vAlign w:val="center"/>
          </w:tcPr>
          <w:p w14:paraId="571485DC" w14:textId="18368F6A"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49602E99" w14:textId="002895E0"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09E89015" w14:textId="300A66FA"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8" w:type="pct"/>
            <w:shd w:val="clear" w:color="auto" w:fill="auto"/>
            <w:vAlign w:val="center"/>
          </w:tcPr>
          <w:p w14:paraId="39EC29B4" w14:textId="1A1D4BEE"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06" w:type="pct"/>
            <w:shd w:val="clear" w:color="auto" w:fill="auto"/>
            <w:vAlign w:val="center"/>
          </w:tcPr>
          <w:p w14:paraId="3408C172" w14:textId="70F6B9C8"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2" w:type="pct"/>
            <w:shd w:val="clear" w:color="auto" w:fill="auto"/>
            <w:vAlign w:val="center"/>
          </w:tcPr>
          <w:p w14:paraId="4EF21133" w14:textId="44422312"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r>
      <w:tr w:rsidR="000642BF" w:rsidRPr="00026770" w14:paraId="6AB7C75C" w14:textId="77777777" w:rsidTr="0090680E">
        <w:tc>
          <w:tcPr>
            <w:tcW w:w="1257" w:type="pct"/>
            <w:shd w:val="clear" w:color="auto" w:fill="auto"/>
          </w:tcPr>
          <w:p w14:paraId="5C9275B1" w14:textId="77777777" w:rsidR="007575A9" w:rsidRPr="00026770" w:rsidRDefault="007575A9" w:rsidP="00583870">
            <w:pPr>
              <w:pStyle w:val="TableText"/>
              <w:rPr>
                <w:szCs w:val="20"/>
              </w:rPr>
            </w:pPr>
            <w:r w:rsidRPr="00026770">
              <w:rPr>
                <w:szCs w:val="20"/>
              </w:rPr>
              <w:t xml:space="preserve">Total </w:t>
            </w:r>
            <w:r>
              <w:rPr>
                <w:szCs w:val="20"/>
              </w:rPr>
              <w:t>treated</w:t>
            </w:r>
            <w:r w:rsidRPr="00026770">
              <w:rPr>
                <w:szCs w:val="20"/>
              </w:rPr>
              <w:t xml:space="preserve"> TNBC patients</w:t>
            </w:r>
          </w:p>
        </w:tc>
        <w:tc>
          <w:tcPr>
            <w:tcW w:w="629" w:type="pct"/>
            <w:shd w:val="clear" w:color="auto" w:fill="auto"/>
            <w:vAlign w:val="center"/>
          </w:tcPr>
          <w:p w14:paraId="79B9EE40" w14:textId="3848354B"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6CF5FD1E" w14:textId="45314A39"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33FC4915" w14:textId="0EF94D98"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8" w:type="pct"/>
            <w:shd w:val="clear" w:color="auto" w:fill="auto"/>
            <w:vAlign w:val="center"/>
          </w:tcPr>
          <w:p w14:paraId="708C74BB" w14:textId="0D226E61"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06" w:type="pct"/>
            <w:shd w:val="clear" w:color="auto" w:fill="auto"/>
            <w:vAlign w:val="center"/>
          </w:tcPr>
          <w:p w14:paraId="57671C6C" w14:textId="7CF12E84"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2" w:type="pct"/>
            <w:shd w:val="clear" w:color="auto" w:fill="auto"/>
            <w:vAlign w:val="center"/>
          </w:tcPr>
          <w:p w14:paraId="29BA4A0E" w14:textId="4B926F65"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r>
      <w:tr w:rsidR="007575A9" w:rsidRPr="00026770" w14:paraId="5E67D5BF" w14:textId="77777777" w:rsidTr="00B7491D">
        <w:tc>
          <w:tcPr>
            <w:tcW w:w="5000" w:type="pct"/>
            <w:gridSpan w:val="7"/>
            <w:shd w:val="clear" w:color="auto" w:fill="auto"/>
          </w:tcPr>
          <w:p w14:paraId="2768112E" w14:textId="77777777" w:rsidR="007575A9" w:rsidRPr="00C530D6" w:rsidRDefault="007575A9" w:rsidP="00583870">
            <w:pPr>
              <w:pStyle w:val="TableText"/>
              <w:rPr>
                <w:b/>
                <w:bCs/>
                <w:i/>
                <w:iCs/>
                <w:szCs w:val="20"/>
              </w:rPr>
            </w:pPr>
            <w:r w:rsidRPr="00C530D6">
              <w:rPr>
                <w:b/>
                <w:szCs w:val="20"/>
              </w:rPr>
              <w:t>HR+</w:t>
            </w:r>
          </w:p>
        </w:tc>
      </w:tr>
      <w:tr w:rsidR="000642BF" w:rsidRPr="00026770" w14:paraId="4190A8EF" w14:textId="77777777" w:rsidTr="0090680E">
        <w:tc>
          <w:tcPr>
            <w:tcW w:w="1257" w:type="pct"/>
            <w:shd w:val="clear" w:color="auto" w:fill="auto"/>
          </w:tcPr>
          <w:p w14:paraId="507FD787" w14:textId="77777777" w:rsidR="007575A9" w:rsidRPr="00026770" w:rsidRDefault="007575A9" w:rsidP="00583870">
            <w:pPr>
              <w:pStyle w:val="TableText"/>
              <w:rPr>
                <w:szCs w:val="20"/>
              </w:rPr>
            </w:pPr>
            <w:r w:rsidRPr="00026770">
              <w:rPr>
                <w:szCs w:val="20"/>
              </w:rPr>
              <w:t>Recurrent metastatic cancer who received (neo)adjuvant chemotherapy</w:t>
            </w:r>
          </w:p>
        </w:tc>
        <w:tc>
          <w:tcPr>
            <w:tcW w:w="629" w:type="pct"/>
            <w:shd w:val="clear" w:color="auto" w:fill="auto"/>
            <w:vAlign w:val="center"/>
          </w:tcPr>
          <w:p w14:paraId="537C3966" w14:textId="4BC84FD4"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5FB2D259" w14:textId="5EAB658F"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6A3C876E" w14:textId="70640E37"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8" w:type="pct"/>
            <w:shd w:val="clear" w:color="auto" w:fill="auto"/>
            <w:vAlign w:val="center"/>
          </w:tcPr>
          <w:p w14:paraId="2F2484C4" w14:textId="49824A11"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06" w:type="pct"/>
            <w:shd w:val="clear" w:color="auto" w:fill="auto"/>
            <w:vAlign w:val="center"/>
          </w:tcPr>
          <w:p w14:paraId="27062C12" w14:textId="26605235"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2" w:type="pct"/>
            <w:shd w:val="clear" w:color="auto" w:fill="auto"/>
            <w:vAlign w:val="center"/>
          </w:tcPr>
          <w:p w14:paraId="32D5725A" w14:textId="583E8189"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r>
      <w:tr w:rsidR="000642BF" w:rsidRPr="00026770" w14:paraId="58D9B058" w14:textId="77777777" w:rsidTr="0090680E">
        <w:tc>
          <w:tcPr>
            <w:tcW w:w="1257" w:type="pct"/>
            <w:shd w:val="clear" w:color="auto" w:fill="auto"/>
          </w:tcPr>
          <w:p w14:paraId="65ADA22D" w14:textId="77777777" w:rsidR="007575A9" w:rsidRPr="0066027B" w:rsidRDefault="007575A9" w:rsidP="00583870">
            <w:pPr>
              <w:pStyle w:val="TableText"/>
              <w:rPr>
                <w:i/>
                <w:iCs/>
                <w:szCs w:val="20"/>
              </w:rPr>
            </w:pPr>
            <w:r w:rsidRPr="0066027B">
              <w:rPr>
                <w:i/>
                <w:iCs/>
                <w:szCs w:val="20"/>
              </w:rPr>
              <w:t>De novo</w:t>
            </w:r>
          </w:p>
        </w:tc>
        <w:tc>
          <w:tcPr>
            <w:tcW w:w="629" w:type="pct"/>
            <w:shd w:val="clear" w:color="auto" w:fill="auto"/>
            <w:vAlign w:val="center"/>
          </w:tcPr>
          <w:p w14:paraId="513391E1" w14:textId="70FC4D24"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42705668" w14:textId="1A285F42"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6AAF9C4F" w14:textId="19DB2026"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8" w:type="pct"/>
            <w:shd w:val="clear" w:color="auto" w:fill="auto"/>
            <w:vAlign w:val="center"/>
          </w:tcPr>
          <w:p w14:paraId="6E0C7C4E" w14:textId="066D1BFD"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06" w:type="pct"/>
            <w:shd w:val="clear" w:color="auto" w:fill="auto"/>
            <w:vAlign w:val="center"/>
          </w:tcPr>
          <w:p w14:paraId="7009B4F8" w14:textId="22D765A5"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2" w:type="pct"/>
            <w:shd w:val="clear" w:color="auto" w:fill="auto"/>
            <w:vAlign w:val="center"/>
          </w:tcPr>
          <w:p w14:paraId="3F7078DE" w14:textId="3C632F47"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r>
      <w:tr w:rsidR="000642BF" w:rsidRPr="00026770" w14:paraId="47A3659E" w14:textId="77777777" w:rsidTr="0090680E">
        <w:tc>
          <w:tcPr>
            <w:tcW w:w="1257" w:type="pct"/>
            <w:shd w:val="clear" w:color="auto" w:fill="auto"/>
          </w:tcPr>
          <w:p w14:paraId="324EF5B0" w14:textId="77777777" w:rsidR="007575A9" w:rsidRPr="00026770" w:rsidRDefault="007575A9" w:rsidP="00583870">
            <w:pPr>
              <w:pStyle w:val="TableText"/>
              <w:rPr>
                <w:szCs w:val="20"/>
              </w:rPr>
            </w:pPr>
            <w:r w:rsidRPr="00026770">
              <w:rPr>
                <w:szCs w:val="20"/>
              </w:rPr>
              <w:t xml:space="preserve">Total </w:t>
            </w:r>
            <w:r>
              <w:rPr>
                <w:szCs w:val="20"/>
              </w:rPr>
              <w:t>treated</w:t>
            </w:r>
            <w:r w:rsidRPr="00026770">
              <w:rPr>
                <w:szCs w:val="20"/>
              </w:rPr>
              <w:t xml:space="preserve"> HR+ HER2-negative patients</w:t>
            </w:r>
          </w:p>
        </w:tc>
        <w:tc>
          <w:tcPr>
            <w:tcW w:w="629" w:type="pct"/>
            <w:shd w:val="clear" w:color="auto" w:fill="auto"/>
            <w:vAlign w:val="center"/>
          </w:tcPr>
          <w:p w14:paraId="1A3432FD" w14:textId="44198372"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5F94C36A" w14:textId="21D47F49"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6919997D" w14:textId="7023E94F"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8" w:type="pct"/>
            <w:shd w:val="clear" w:color="auto" w:fill="auto"/>
            <w:vAlign w:val="center"/>
          </w:tcPr>
          <w:p w14:paraId="16224467" w14:textId="2CBA7B14"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06" w:type="pct"/>
            <w:shd w:val="clear" w:color="auto" w:fill="auto"/>
            <w:vAlign w:val="center"/>
          </w:tcPr>
          <w:p w14:paraId="3BA6DDCA" w14:textId="09108004"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c>
          <w:tcPr>
            <w:tcW w:w="622" w:type="pct"/>
            <w:shd w:val="clear" w:color="auto" w:fill="auto"/>
            <w:vAlign w:val="center"/>
          </w:tcPr>
          <w:p w14:paraId="0B9754F8" w14:textId="590BD372" w:rsidR="007575A9" w:rsidRPr="00C530D6" w:rsidRDefault="0090680E" w:rsidP="00583870">
            <w:pPr>
              <w:pStyle w:val="TableText"/>
              <w:jc w:val="center"/>
              <w:rPr>
                <w:i/>
                <w:iCs/>
                <w:szCs w:val="20"/>
              </w:rPr>
            </w:pPr>
            <w:r w:rsidRPr="0090680E">
              <w:rPr>
                <w:b/>
                <w:bCs/>
                <w:szCs w:val="20"/>
              </w:rPr>
              <w:t>redacted</w:t>
            </w:r>
            <w:r w:rsidR="00535ACD" w:rsidRPr="003B3240">
              <w:rPr>
                <w:szCs w:val="20"/>
                <w:vertAlign w:val="superscript"/>
              </w:rPr>
              <w:t>1</w:t>
            </w:r>
          </w:p>
        </w:tc>
      </w:tr>
      <w:tr w:rsidR="000642BF" w:rsidRPr="00026770" w14:paraId="1378CA55" w14:textId="77777777" w:rsidTr="0090680E">
        <w:tc>
          <w:tcPr>
            <w:tcW w:w="1257" w:type="pct"/>
            <w:shd w:val="clear" w:color="auto" w:fill="auto"/>
          </w:tcPr>
          <w:p w14:paraId="627E28BA" w14:textId="0F4B0470" w:rsidR="007575A9" w:rsidRPr="00026770" w:rsidRDefault="007575A9" w:rsidP="00583870">
            <w:pPr>
              <w:pStyle w:val="TableText"/>
              <w:rPr>
                <w:szCs w:val="20"/>
                <w:vertAlign w:val="superscript"/>
              </w:rPr>
            </w:pPr>
            <w:r w:rsidRPr="00026770">
              <w:rPr>
                <w:szCs w:val="20"/>
              </w:rPr>
              <w:t>Total olaparib prescriptions</w:t>
            </w:r>
            <w:r w:rsidRPr="00026770">
              <w:rPr>
                <w:szCs w:val="20"/>
                <w:vertAlign w:val="superscript"/>
              </w:rPr>
              <w:t>a</w:t>
            </w:r>
          </w:p>
        </w:tc>
        <w:tc>
          <w:tcPr>
            <w:tcW w:w="629" w:type="pct"/>
            <w:shd w:val="clear" w:color="auto" w:fill="auto"/>
          </w:tcPr>
          <w:p w14:paraId="1CED489B" w14:textId="35BBACE2" w:rsidR="007575A9" w:rsidRPr="00026770" w:rsidRDefault="0090680E" w:rsidP="00583870">
            <w:pPr>
              <w:pStyle w:val="TableText"/>
              <w:jc w:val="center"/>
              <w:rPr>
                <w:color w:val="000000"/>
                <w:szCs w:val="20"/>
              </w:rPr>
            </w:pPr>
            <w:r w:rsidRPr="0090680E">
              <w:rPr>
                <w:b/>
                <w:bCs/>
                <w:szCs w:val="20"/>
              </w:rPr>
              <w:t>redacted</w:t>
            </w:r>
            <w:r w:rsidR="00535ACD">
              <w:rPr>
                <w:szCs w:val="20"/>
                <w:vertAlign w:val="superscript"/>
              </w:rPr>
              <w:t>2</w:t>
            </w:r>
          </w:p>
        </w:tc>
        <w:tc>
          <w:tcPr>
            <w:tcW w:w="629" w:type="pct"/>
            <w:shd w:val="clear" w:color="auto" w:fill="auto"/>
          </w:tcPr>
          <w:p w14:paraId="56071E66" w14:textId="7BE4263A" w:rsidR="007575A9" w:rsidRPr="00026770" w:rsidRDefault="0090680E" w:rsidP="00583870">
            <w:pPr>
              <w:pStyle w:val="TableText"/>
              <w:jc w:val="center"/>
              <w:rPr>
                <w:color w:val="000000"/>
                <w:szCs w:val="20"/>
              </w:rPr>
            </w:pPr>
            <w:r w:rsidRPr="0090680E">
              <w:rPr>
                <w:b/>
                <w:bCs/>
                <w:szCs w:val="20"/>
              </w:rPr>
              <w:t>redacted</w:t>
            </w:r>
            <w:r w:rsidR="00535ACD">
              <w:rPr>
                <w:szCs w:val="20"/>
                <w:vertAlign w:val="superscript"/>
              </w:rPr>
              <w:t>2</w:t>
            </w:r>
          </w:p>
        </w:tc>
        <w:tc>
          <w:tcPr>
            <w:tcW w:w="629" w:type="pct"/>
            <w:shd w:val="clear" w:color="auto" w:fill="auto"/>
          </w:tcPr>
          <w:p w14:paraId="6A2622D1" w14:textId="7A9B6DE3" w:rsidR="007575A9" w:rsidRPr="00026770" w:rsidRDefault="0090680E" w:rsidP="00583870">
            <w:pPr>
              <w:pStyle w:val="TableText"/>
              <w:jc w:val="center"/>
              <w:rPr>
                <w:color w:val="000000"/>
                <w:szCs w:val="20"/>
              </w:rPr>
            </w:pPr>
            <w:r w:rsidRPr="0090680E">
              <w:rPr>
                <w:b/>
                <w:bCs/>
                <w:szCs w:val="20"/>
              </w:rPr>
              <w:t>redacted</w:t>
            </w:r>
            <w:r w:rsidR="00BF698B">
              <w:rPr>
                <w:szCs w:val="20"/>
                <w:vertAlign w:val="superscript"/>
              </w:rPr>
              <w:t>2</w:t>
            </w:r>
          </w:p>
        </w:tc>
        <w:tc>
          <w:tcPr>
            <w:tcW w:w="628" w:type="pct"/>
            <w:shd w:val="clear" w:color="auto" w:fill="auto"/>
          </w:tcPr>
          <w:p w14:paraId="54129E1E" w14:textId="37D3902E" w:rsidR="007575A9" w:rsidRPr="00026770" w:rsidRDefault="0090680E" w:rsidP="00583870">
            <w:pPr>
              <w:pStyle w:val="TableText"/>
              <w:jc w:val="center"/>
              <w:rPr>
                <w:color w:val="000000"/>
                <w:szCs w:val="20"/>
              </w:rPr>
            </w:pPr>
            <w:r w:rsidRPr="0090680E">
              <w:rPr>
                <w:b/>
                <w:bCs/>
                <w:szCs w:val="20"/>
              </w:rPr>
              <w:t>redacted</w:t>
            </w:r>
            <w:r w:rsidR="00BF698B">
              <w:rPr>
                <w:szCs w:val="20"/>
                <w:vertAlign w:val="superscript"/>
              </w:rPr>
              <w:t>2</w:t>
            </w:r>
          </w:p>
        </w:tc>
        <w:tc>
          <w:tcPr>
            <w:tcW w:w="606" w:type="pct"/>
            <w:shd w:val="clear" w:color="auto" w:fill="auto"/>
          </w:tcPr>
          <w:p w14:paraId="6948B7D8" w14:textId="4A4F1225" w:rsidR="007575A9" w:rsidRPr="00026770" w:rsidRDefault="0090680E" w:rsidP="00583870">
            <w:pPr>
              <w:pStyle w:val="TableText"/>
              <w:jc w:val="center"/>
              <w:rPr>
                <w:color w:val="000000"/>
                <w:szCs w:val="20"/>
              </w:rPr>
            </w:pPr>
            <w:r w:rsidRPr="0090680E">
              <w:rPr>
                <w:b/>
                <w:bCs/>
                <w:szCs w:val="20"/>
              </w:rPr>
              <w:t>redacted</w:t>
            </w:r>
            <w:r w:rsidR="00BF698B">
              <w:rPr>
                <w:szCs w:val="20"/>
                <w:vertAlign w:val="superscript"/>
              </w:rPr>
              <w:t>2</w:t>
            </w:r>
          </w:p>
        </w:tc>
        <w:tc>
          <w:tcPr>
            <w:tcW w:w="622" w:type="pct"/>
            <w:shd w:val="clear" w:color="auto" w:fill="auto"/>
          </w:tcPr>
          <w:p w14:paraId="25C1B63B" w14:textId="567802B0" w:rsidR="007575A9" w:rsidRPr="00026770" w:rsidRDefault="0090680E" w:rsidP="00583870">
            <w:pPr>
              <w:pStyle w:val="TableText"/>
              <w:jc w:val="center"/>
              <w:rPr>
                <w:color w:val="000000"/>
                <w:szCs w:val="20"/>
              </w:rPr>
            </w:pPr>
            <w:r w:rsidRPr="0090680E">
              <w:rPr>
                <w:b/>
                <w:bCs/>
                <w:szCs w:val="20"/>
              </w:rPr>
              <w:t>redacted</w:t>
            </w:r>
            <w:r w:rsidR="00BF698B">
              <w:rPr>
                <w:szCs w:val="20"/>
                <w:vertAlign w:val="superscript"/>
              </w:rPr>
              <w:t>2</w:t>
            </w:r>
          </w:p>
        </w:tc>
      </w:tr>
      <w:tr w:rsidR="00370BF3" w:rsidRPr="00026770" w14:paraId="4796BCAC" w14:textId="77777777" w:rsidTr="0090680E">
        <w:tc>
          <w:tcPr>
            <w:tcW w:w="1257" w:type="pct"/>
            <w:shd w:val="clear" w:color="auto" w:fill="auto"/>
          </w:tcPr>
          <w:p w14:paraId="2811A2BB" w14:textId="64A55805" w:rsidR="00370BF3" w:rsidRPr="002F2CD1" w:rsidRDefault="00370BF3" w:rsidP="002F2CD1">
            <w:pPr>
              <w:rPr>
                <w:i/>
                <w:iCs/>
                <w:szCs w:val="20"/>
                <w:u w:val="single"/>
              </w:rPr>
            </w:pPr>
            <w:r w:rsidRPr="002F2CD1">
              <w:rPr>
                <w:rFonts w:ascii="Arial Narrow" w:hAnsi="Arial Narrow"/>
                <w:i/>
                <w:iCs/>
                <w:sz w:val="20"/>
                <w:szCs w:val="20"/>
                <w:u w:val="single"/>
                <w:lang w:eastAsia="en-AU"/>
              </w:rPr>
              <w:t>Total no. patients identified with gBRCA variants following olaparib listing (i.e estimated gBRCA positive patients)</w:t>
            </w:r>
          </w:p>
        </w:tc>
        <w:tc>
          <w:tcPr>
            <w:tcW w:w="629" w:type="pct"/>
            <w:shd w:val="clear" w:color="auto" w:fill="auto"/>
            <w:vAlign w:val="center"/>
          </w:tcPr>
          <w:p w14:paraId="479CB20E" w14:textId="550BED55" w:rsidR="00370BF3" w:rsidRPr="002F2CD1" w:rsidRDefault="0090680E" w:rsidP="00370BF3">
            <w:pPr>
              <w:pStyle w:val="TableText"/>
              <w:jc w:val="center"/>
              <w:rPr>
                <w:i/>
                <w:iCs/>
                <w:szCs w:val="20"/>
                <w:u w:val="single"/>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61679FEC" w14:textId="459CB616" w:rsidR="00370BF3" w:rsidRPr="002F2CD1" w:rsidRDefault="0090680E" w:rsidP="00370BF3">
            <w:pPr>
              <w:pStyle w:val="TableText"/>
              <w:jc w:val="center"/>
              <w:rPr>
                <w:i/>
                <w:iCs/>
                <w:szCs w:val="20"/>
                <w:u w:val="single"/>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5F6EFC98" w14:textId="28024C86" w:rsidR="00370BF3" w:rsidRPr="002F2CD1" w:rsidRDefault="0090680E" w:rsidP="00370BF3">
            <w:pPr>
              <w:pStyle w:val="TableText"/>
              <w:jc w:val="center"/>
              <w:rPr>
                <w:i/>
                <w:iCs/>
                <w:szCs w:val="20"/>
                <w:u w:val="single"/>
              </w:rPr>
            </w:pPr>
            <w:r w:rsidRPr="0090680E">
              <w:rPr>
                <w:b/>
                <w:bCs/>
                <w:szCs w:val="20"/>
              </w:rPr>
              <w:t>redacted</w:t>
            </w:r>
            <w:r w:rsidR="00535ACD" w:rsidRPr="003B3240">
              <w:rPr>
                <w:szCs w:val="20"/>
                <w:vertAlign w:val="superscript"/>
              </w:rPr>
              <w:t>1</w:t>
            </w:r>
          </w:p>
        </w:tc>
        <w:tc>
          <w:tcPr>
            <w:tcW w:w="628" w:type="pct"/>
            <w:shd w:val="clear" w:color="auto" w:fill="auto"/>
            <w:vAlign w:val="center"/>
          </w:tcPr>
          <w:p w14:paraId="3FDD4795" w14:textId="7B3E850C" w:rsidR="00370BF3" w:rsidRPr="002F2CD1" w:rsidRDefault="0090680E" w:rsidP="00370BF3">
            <w:pPr>
              <w:pStyle w:val="TableText"/>
              <w:jc w:val="center"/>
              <w:rPr>
                <w:i/>
                <w:iCs/>
                <w:szCs w:val="20"/>
                <w:u w:val="single"/>
              </w:rPr>
            </w:pPr>
            <w:r w:rsidRPr="0090680E">
              <w:rPr>
                <w:b/>
                <w:bCs/>
                <w:szCs w:val="20"/>
              </w:rPr>
              <w:t>redacted</w:t>
            </w:r>
            <w:r w:rsidR="00535ACD" w:rsidRPr="003B3240">
              <w:rPr>
                <w:szCs w:val="20"/>
                <w:vertAlign w:val="superscript"/>
              </w:rPr>
              <w:t>1</w:t>
            </w:r>
          </w:p>
        </w:tc>
        <w:tc>
          <w:tcPr>
            <w:tcW w:w="606" w:type="pct"/>
            <w:shd w:val="clear" w:color="auto" w:fill="auto"/>
            <w:vAlign w:val="center"/>
          </w:tcPr>
          <w:p w14:paraId="270FFC57" w14:textId="28830B6E" w:rsidR="00370BF3" w:rsidRPr="002F2CD1" w:rsidRDefault="0090680E" w:rsidP="00370BF3">
            <w:pPr>
              <w:pStyle w:val="TableText"/>
              <w:jc w:val="center"/>
              <w:rPr>
                <w:i/>
                <w:iCs/>
                <w:szCs w:val="20"/>
                <w:u w:val="single"/>
              </w:rPr>
            </w:pPr>
            <w:r w:rsidRPr="0090680E">
              <w:rPr>
                <w:b/>
                <w:bCs/>
                <w:szCs w:val="20"/>
              </w:rPr>
              <w:t>redacted</w:t>
            </w:r>
            <w:r w:rsidR="00535ACD" w:rsidRPr="003B3240">
              <w:rPr>
                <w:szCs w:val="20"/>
                <w:vertAlign w:val="superscript"/>
              </w:rPr>
              <w:t>1</w:t>
            </w:r>
          </w:p>
        </w:tc>
        <w:tc>
          <w:tcPr>
            <w:tcW w:w="622" w:type="pct"/>
            <w:shd w:val="clear" w:color="auto" w:fill="auto"/>
            <w:vAlign w:val="center"/>
          </w:tcPr>
          <w:p w14:paraId="2B506DF3" w14:textId="465A4E5B" w:rsidR="00370BF3" w:rsidRPr="002F2CD1" w:rsidRDefault="0090680E" w:rsidP="00370BF3">
            <w:pPr>
              <w:pStyle w:val="TableText"/>
              <w:jc w:val="center"/>
              <w:rPr>
                <w:i/>
                <w:iCs/>
                <w:szCs w:val="20"/>
                <w:u w:val="single"/>
              </w:rPr>
            </w:pPr>
            <w:r w:rsidRPr="0090680E">
              <w:rPr>
                <w:b/>
                <w:bCs/>
                <w:szCs w:val="20"/>
              </w:rPr>
              <w:t>redacted</w:t>
            </w:r>
            <w:r w:rsidR="00535ACD" w:rsidRPr="003B3240">
              <w:rPr>
                <w:szCs w:val="20"/>
                <w:vertAlign w:val="superscript"/>
              </w:rPr>
              <w:t>1</w:t>
            </w:r>
          </w:p>
        </w:tc>
      </w:tr>
      <w:tr w:rsidR="0042114F" w:rsidRPr="00026770" w14:paraId="27A33D6C" w14:textId="77777777" w:rsidTr="0090680E">
        <w:tc>
          <w:tcPr>
            <w:tcW w:w="1257" w:type="pct"/>
            <w:shd w:val="clear" w:color="auto" w:fill="auto"/>
            <w:vAlign w:val="center"/>
          </w:tcPr>
          <w:p w14:paraId="547062A7" w14:textId="06AD1B57" w:rsidR="0042114F" w:rsidRPr="002F2CD1" w:rsidRDefault="0042114F" w:rsidP="0042114F">
            <w:pPr>
              <w:pStyle w:val="TableText"/>
              <w:rPr>
                <w:i/>
                <w:iCs/>
                <w:szCs w:val="20"/>
                <w:u w:val="single"/>
              </w:rPr>
            </w:pPr>
            <w:r w:rsidRPr="002F2CD1">
              <w:rPr>
                <w:i/>
                <w:iCs/>
                <w:szCs w:val="20"/>
                <w:u w:val="single"/>
                <w:lang w:eastAsia="en-AU"/>
              </w:rPr>
              <w:t>No. cascade tests (1.8 per patient with gBRCA variants identified</w:t>
            </w:r>
            <w:r w:rsidR="00B537F3" w:rsidRPr="002F2CD1">
              <w:rPr>
                <w:i/>
                <w:iCs/>
                <w:szCs w:val="20"/>
                <w:u w:val="single"/>
                <w:lang w:eastAsia="en-AU"/>
              </w:rPr>
              <w:t>)</w:t>
            </w:r>
            <w:r w:rsidR="00B537F3" w:rsidRPr="0047760D">
              <w:rPr>
                <w:i/>
                <w:iCs/>
                <w:szCs w:val="20"/>
                <w:u w:val="single"/>
                <w:vertAlign w:val="superscript"/>
                <w:lang w:eastAsia="en-AU"/>
              </w:rPr>
              <w:t>c</w:t>
            </w:r>
          </w:p>
        </w:tc>
        <w:tc>
          <w:tcPr>
            <w:tcW w:w="629" w:type="pct"/>
            <w:shd w:val="clear" w:color="auto" w:fill="auto"/>
            <w:vAlign w:val="center"/>
          </w:tcPr>
          <w:p w14:paraId="7685951B" w14:textId="117CD945" w:rsidR="0042114F" w:rsidRPr="002F2CD1" w:rsidRDefault="0090680E" w:rsidP="00A20BDA">
            <w:pPr>
              <w:pStyle w:val="TableText"/>
              <w:jc w:val="center"/>
              <w:rPr>
                <w:i/>
                <w:iCs/>
                <w:szCs w:val="20"/>
                <w:u w:val="single"/>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7DB610FC" w14:textId="7DA7E83B" w:rsidR="0042114F" w:rsidRPr="002F2CD1" w:rsidRDefault="0090680E" w:rsidP="00A20BDA">
            <w:pPr>
              <w:pStyle w:val="TableText"/>
              <w:jc w:val="center"/>
              <w:rPr>
                <w:i/>
                <w:iCs/>
                <w:szCs w:val="20"/>
                <w:u w:val="single"/>
              </w:rPr>
            </w:pPr>
            <w:r w:rsidRPr="0090680E">
              <w:rPr>
                <w:b/>
                <w:bCs/>
                <w:szCs w:val="20"/>
              </w:rPr>
              <w:t>redacted</w:t>
            </w:r>
            <w:r w:rsidR="00535ACD" w:rsidRPr="003B3240">
              <w:rPr>
                <w:szCs w:val="20"/>
                <w:vertAlign w:val="superscript"/>
              </w:rPr>
              <w:t>1</w:t>
            </w:r>
          </w:p>
        </w:tc>
        <w:tc>
          <w:tcPr>
            <w:tcW w:w="629" w:type="pct"/>
            <w:shd w:val="clear" w:color="auto" w:fill="auto"/>
            <w:vAlign w:val="center"/>
          </w:tcPr>
          <w:p w14:paraId="4CB68E34" w14:textId="2D851A2B" w:rsidR="0042114F" w:rsidRPr="002F2CD1" w:rsidRDefault="0090680E" w:rsidP="00A20BDA">
            <w:pPr>
              <w:pStyle w:val="TableText"/>
              <w:jc w:val="center"/>
              <w:rPr>
                <w:i/>
                <w:iCs/>
                <w:szCs w:val="20"/>
                <w:u w:val="single"/>
              </w:rPr>
            </w:pPr>
            <w:r w:rsidRPr="0090680E">
              <w:rPr>
                <w:b/>
                <w:bCs/>
                <w:szCs w:val="20"/>
              </w:rPr>
              <w:t>redacted</w:t>
            </w:r>
            <w:r w:rsidR="00BF698B">
              <w:rPr>
                <w:szCs w:val="20"/>
                <w:vertAlign w:val="superscript"/>
              </w:rPr>
              <w:t>2</w:t>
            </w:r>
          </w:p>
        </w:tc>
        <w:tc>
          <w:tcPr>
            <w:tcW w:w="628" w:type="pct"/>
            <w:shd w:val="clear" w:color="auto" w:fill="auto"/>
            <w:vAlign w:val="center"/>
          </w:tcPr>
          <w:p w14:paraId="127A4812" w14:textId="6649AB7A" w:rsidR="0042114F" w:rsidRPr="002F2CD1" w:rsidRDefault="0090680E" w:rsidP="00A20BDA">
            <w:pPr>
              <w:pStyle w:val="TableText"/>
              <w:jc w:val="center"/>
              <w:rPr>
                <w:i/>
                <w:iCs/>
                <w:szCs w:val="20"/>
                <w:u w:val="single"/>
              </w:rPr>
            </w:pPr>
            <w:r w:rsidRPr="0090680E">
              <w:rPr>
                <w:b/>
                <w:bCs/>
                <w:szCs w:val="20"/>
              </w:rPr>
              <w:t>redacted</w:t>
            </w:r>
            <w:r w:rsidR="00BF698B">
              <w:rPr>
                <w:szCs w:val="20"/>
                <w:vertAlign w:val="superscript"/>
              </w:rPr>
              <w:t>2</w:t>
            </w:r>
          </w:p>
        </w:tc>
        <w:tc>
          <w:tcPr>
            <w:tcW w:w="606" w:type="pct"/>
            <w:shd w:val="clear" w:color="auto" w:fill="auto"/>
            <w:vAlign w:val="center"/>
          </w:tcPr>
          <w:p w14:paraId="782B9295" w14:textId="33444894" w:rsidR="0042114F" w:rsidRPr="002F2CD1" w:rsidRDefault="0090680E" w:rsidP="00A20BDA">
            <w:pPr>
              <w:pStyle w:val="TableText"/>
              <w:jc w:val="center"/>
              <w:rPr>
                <w:i/>
                <w:iCs/>
                <w:szCs w:val="20"/>
                <w:u w:val="single"/>
              </w:rPr>
            </w:pPr>
            <w:r w:rsidRPr="0090680E">
              <w:rPr>
                <w:b/>
                <w:bCs/>
                <w:szCs w:val="20"/>
              </w:rPr>
              <w:t>redacted</w:t>
            </w:r>
            <w:r w:rsidR="00BF698B">
              <w:rPr>
                <w:szCs w:val="20"/>
                <w:vertAlign w:val="superscript"/>
              </w:rPr>
              <w:t>2</w:t>
            </w:r>
          </w:p>
        </w:tc>
        <w:tc>
          <w:tcPr>
            <w:tcW w:w="622" w:type="pct"/>
            <w:shd w:val="clear" w:color="auto" w:fill="auto"/>
            <w:vAlign w:val="center"/>
          </w:tcPr>
          <w:p w14:paraId="3AA3593D" w14:textId="5DA126C3" w:rsidR="0042114F" w:rsidRPr="002F2CD1" w:rsidRDefault="0090680E" w:rsidP="00A20BDA">
            <w:pPr>
              <w:pStyle w:val="TableText"/>
              <w:jc w:val="center"/>
              <w:rPr>
                <w:i/>
                <w:iCs/>
                <w:szCs w:val="20"/>
                <w:u w:val="single"/>
              </w:rPr>
            </w:pPr>
            <w:r w:rsidRPr="0090680E">
              <w:rPr>
                <w:b/>
                <w:bCs/>
                <w:szCs w:val="20"/>
              </w:rPr>
              <w:t>redacted</w:t>
            </w:r>
            <w:r w:rsidR="00BF698B">
              <w:rPr>
                <w:szCs w:val="20"/>
                <w:vertAlign w:val="superscript"/>
              </w:rPr>
              <w:t>2</w:t>
            </w:r>
          </w:p>
        </w:tc>
      </w:tr>
      <w:tr w:rsidR="000642BF" w:rsidRPr="00026770" w14:paraId="5D4AF0CA" w14:textId="77777777" w:rsidTr="0090680E">
        <w:tc>
          <w:tcPr>
            <w:tcW w:w="1257" w:type="pct"/>
            <w:shd w:val="clear" w:color="auto" w:fill="auto"/>
          </w:tcPr>
          <w:p w14:paraId="1BF6CAA4" w14:textId="6B8A4607" w:rsidR="007575A9" w:rsidRPr="00026770" w:rsidRDefault="007575A9" w:rsidP="00A20BDA">
            <w:pPr>
              <w:pStyle w:val="TableText"/>
              <w:rPr>
                <w:szCs w:val="20"/>
              </w:rPr>
            </w:pPr>
            <w:r w:rsidRPr="00026770">
              <w:rPr>
                <w:i/>
                <w:iCs/>
                <w:szCs w:val="20"/>
              </w:rPr>
              <w:t>Recurrent scripts only</w:t>
            </w:r>
          </w:p>
        </w:tc>
        <w:tc>
          <w:tcPr>
            <w:tcW w:w="629" w:type="pct"/>
            <w:shd w:val="clear" w:color="auto" w:fill="auto"/>
            <w:vAlign w:val="center"/>
          </w:tcPr>
          <w:p w14:paraId="65C8AC0D" w14:textId="0A58EE3F"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c>
          <w:tcPr>
            <w:tcW w:w="629" w:type="pct"/>
            <w:shd w:val="clear" w:color="auto" w:fill="auto"/>
            <w:vAlign w:val="center"/>
          </w:tcPr>
          <w:p w14:paraId="5E7D4A95" w14:textId="10B88D7A"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c>
          <w:tcPr>
            <w:tcW w:w="629" w:type="pct"/>
            <w:shd w:val="clear" w:color="auto" w:fill="auto"/>
            <w:vAlign w:val="center"/>
          </w:tcPr>
          <w:p w14:paraId="07A32A7F" w14:textId="131849B4"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c>
          <w:tcPr>
            <w:tcW w:w="628" w:type="pct"/>
            <w:shd w:val="clear" w:color="auto" w:fill="auto"/>
            <w:vAlign w:val="center"/>
          </w:tcPr>
          <w:p w14:paraId="19A200FD" w14:textId="25D043B4"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c>
          <w:tcPr>
            <w:tcW w:w="606" w:type="pct"/>
            <w:shd w:val="clear" w:color="auto" w:fill="auto"/>
            <w:vAlign w:val="center"/>
          </w:tcPr>
          <w:p w14:paraId="770C9BE2" w14:textId="41C2048A"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c>
          <w:tcPr>
            <w:tcW w:w="622" w:type="pct"/>
            <w:shd w:val="clear" w:color="auto" w:fill="auto"/>
            <w:vAlign w:val="center"/>
          </w:tcPr>
          <w:p w14:paraId="39C53339" w14:textId="4B350C28"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r>
      <w:tr w:rsidR="000642BF" w:rsidRPr="00026770" w14:paraId="51F9DD52" w14:textId="77777777" w:rsidTr="0090680E">
        <w:tc>
          <w:tcPr>
            <w:tcW w:w="1257" w:type="pct"/>
            <w:shd w:val="clear" w:color="auto" w:fill="auto"/>
          </w:tcPr>
          <w:p w14:paraId="1F04627B" w14:textId="22EFF95A" w:rsidR="007575A9" w:rsidRPr="00026770" w:rsidRDefault="007575A9" w:rsidP="00A20BDA">
            <w:pPr>
              <w:pStyle w:val="TableText"/>
              <w:rPr>
                <w:szCs w:val="20"/>
              </w:rPr>
            </w:pPr>
            <w:r w:rsidRPr="00026770">
              <w:rPr>
                <w:i/>
                <w:iCs/>
                <w:szCs w:val="20"/>
              </w:rPr>
              <w:t>De novo scripts only</w:t>
            </w:r>
          </w:p>
        </w:tc>
        <w:tc>
          <w:tcPr>
            <w:tcW w:w="629" w:type="pct"/>
            <w:shd w:val="clear" w:color="auto" w:fill="auto"/>
            <w:vAlign w:val="center"/>
          </w:tcPr>
          <w:p w14:paraId="0642CE25" w14:textId="4D203532"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c>
          <w:tcPr>
            <w:tcW w:w="629" w:type="pct"/>
            <w:shd w:val="clear" w:color="auto" w:fill="auto"/>
            <w:vAlign w:val="center"/>
          </w:tcPr>
          <w:p w14:paraId="4BEB2387" w14:textId="67A590C2"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c>
          <w:tcPr>
            <w:tcW w:w="629" w:type="pct"/>
            <w:shd w:val="clear" w:color="auto" w:fill="auto"/>
            <w:vAlign w:val="center"/>
          </w:tcPr>
          <w:p w14:paraId="16BED3D4" w14:textId="55AF5B43"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c>
          <w:tcPr>
            <w:tcW w:w="628" w:type="pct"/>
            <w:shd w:val="clear" w:color="auto" w:fill="auto"/>
            <w:vAlign w:val="center"/>
          </w:tcPr>
          <w:p w14:paraId="31D12111" w14:textId="434CEBB0"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c>
          <w:tcPr>
            <w:tcW w:w="606" w:type="pct"/>
            <w:shd w:val="clear" w:color="auto" w:fill="auto"/>
            <w:vAlign w:val="center"/>
          </w:tcPr>
          <w:p w14:paraId="3EEE53BB" w14:textId="78FA8A50"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c>
          <w:tcPr>
            <w:tcW w:w="622" w:type="pct"/>
            <w:shd w:val="clear" w:color="auto" w:fill="auto"/>
            <w:vAlign w:val="center"/>
          </w:tcPr>
          <w:p w14:paraId="580EFC82" w14:textId="3E9914ED" w:rsidR="007575A9" w:rsidRPr="00026770" w:rsidRDefault="0090680E" w:rsidP="00A20BDA">
            <w:pPr>
              <w:pStyle w:val="TableText"/>
              <w:jc w:val="center"/>
              <w:rPr>
                <w:color w:val="000000"/>
                <w:szCs w:val="20"/>
              </w:rPr>
            </w:pPr>
            <w:r w:rsidRPr="0090680E">
              <w:rPr>
                <w:b/>
                <w:bCs/>
                <w:szCs w:val="20"/>
              </w:rPr>
              <w:t>redacted</w:t>
            </w:r>
            <w:r w:rsidR="00BF698B">
              <w:rPr>
                <w:szCs w:val="20"/>
                <w:vertAlign w:val="superscript"/>
              </w:rPr>
              <w:t>2</w:t>
            </w:r>
          </w:p>
        </w:tc>
      </w:tr>
      <w:tr w:rsidR="007575A9" w:rsidRPr="00026770" w14:paraId="651E21B0" w14:textId="77777777" w:rsidTr="00B7491D">
        <w:tc>
          <w:tcPr>
            <w:tcW w:w="5000" w:type="pct"/>
            <w:gridSpan w:val="7"/>
            <w:shd w:val="clear" w:color="auto" w:fill="auto"/>
            <w:vAlign w:val="center"/>
          </w:tcPr>
          <w:p w14:paraId="79AC6150" w14:textId="77777777" w:rsidR="007575A9" w:rsidRPr="00026770" w:rsidRDefault="007575A9" w:rsidP="00583870">
            <w:pPr>
              <w:pStyle w:val="In-tableHeading"/>
              <w:rPr>
                <w:szCs w:val="20"/>
                <w:lang w:val="en-AU"/>
              </w:rPr>
            </w:pPr>
            <w:r w:rsidRPr="00026770">
              <w:rPr>
                <w:szCs w:val="20"/>
                <w:lang w:val="en-AU"/>
              </w:rPr>
              <w:t>Net financial implications</w:t>
            </w:r>
            <w:r w:rsidRPr="00026770">
              <w:rPr>
                <w:color w:val="4472C4" w:themeColor="accent5"/>
                <w:szCs w:val="20"/>
                <w:lang w:val="en-AU"/>
              </w:rPr>
              <w:t xml:space="preserve"> </w:t>
            </w:r>
          </w:p>
        </w:tc>
      </w:tr>
      <w:tr w:rsidR="000642BF" w:rsidRPr="00026770" w14:paraId="18E4086E" w14:textId="77777777" w:rsidTr="0090680E">
        <w:tc>
          <w:tcPr>
            <w:tcW w:w="1257" w:type="pct"/>
            <w:shd w:val="clear" w:color="auto" w:fill="auto"/>
            <w:vAlign w:val="center"/>
          </w:tcPr>
          <w:p w14:paraId="4FFF3EDE" w14:textId="77777777" w:rsidR="007575A9" w:rsidRPr="00026770" w:rsidRDefault="007575A9" w:rsidP="00583870">
            <w:pPr>
              <w:pStyle w:val="TableText"/>
              <w:rPr>
                <w:szCs w:val="20"/>
              </w:rPr>
            </w:pPr>
            <w:r w:rsidRPr="00026770">
              <w:rPr>
                <w:szCs w:val="20"/>
              </w:rPr>
              <w:t>Net cost to PBS/RPBS</w:t>
            </w:r>
          </w:p>
        </w:tc>
        <w:tc>
          <w:tcPr>
            <w:tcW w:w="629" w:type="pct"/>
            <w:shd w:val="clear" w:color="auto" w:fill="auto"/>
            <w:vAlign w:val="center"/>
          </w:tcPr>
          <w:p w14:paraId="0E1BB400" w14:textId="11C4974D" w:rsidR="007575A9" w:rsidRPr="0090680E" w:rsidRDefault="00187D49" w:rsidP="0090680E">
            <w:pPr>
              <w:pStyle w:val="TableText"/>
              <w:jc w:val="center"/>
              <w:rPr>
                <w:szCs w:val="20"/>
                <w:vertAlign w:val="superscript"/>
              </w:rPr>
            </w:pPr>
            <w:r w:rsidRPr="0090680E">
              <w:rPr>
                <w:szCs w:val="20"/>
              </w:rPr>
              <w:t xml:space="preserve"> </w:t>
            </w:r>
            <w:r w:rsidR="0090680E" w:rsidRPr="0090680E">
              <w:rPr>
                <w:b/>
                <w:bCs/>
                <w:szCs w:val="20"/>
              </w:rPr>
              <w:t>redacted</w:t>
            </w:r>
            <w:r w:rsidRPr="0090680E">
              <w:rPr>
                <w:szCs w:val="20"/>
                <w:vertAlign w:val="superscript"/>
              </w:rPr>
              <w:t>4</w:t>
            </w:r>
          </w:p>
        </w:tc>
        <w:tc>
          <w:tcPr>
            <w:tcW w:w="629" w:type="pct"/>
            <w:shd w:val="clear" w:color="auto" w:fill="auto"/>
            <w:vAlign w:val="center"/>
          </w:tcPr>
          <w:p w14:paraId="57D5264F" w14:textId="3DED1839" w:rsidR="007575A9" w:rsidRPr="00B03153" w:rsidRDefault="0090680E" w:rsidP="0090680E">
            <w:pPr>
              <w:pStyle w:val="TableText"/>
              <w:jc w:val="center"/>
              <w:rPr>
                <w:szCs w:val="20"/>
              </w:rPr>
            </w:pPr>
            <w:r w:rsidRPr="0090680E">
              <w:rPr>
                <w:b/>
                <w:bCs/>
                <w:szCs w:val="20"/>
              </w:rPr>
              <w:t>redacted</w:t>
            </w:r>
            <w:r w:rsidR="004F46A7" w:rsidRPr="0090680E">
              <w:rPr>
                <w:szCs w:val="20"/>
                <w:vertAlign w:val="superscript"/>
              </w:rPr>
              <w:t>4</w:t>
            </w:r>
          </w:p>
        </w:tc>
        <w:tc>
          <w:tcPr>
            <w:tcW w:w="629" w:type="pct"/>
            <w:shd w:val="clear" w:color="auto" w:fill="auto"/>
            <w:vAlign w:val="center"/>
          </w:tcPr>
          <w:p w14:paraId="272B9B63" w14:textId="4BC725D6" w:rsidR="007575A9" w:rsidRPr="00B03153" w:rsidRDefault="0090680E" w:rsidP="0090680E">
            <w:pPr>
              <w:pStyle w:val="TableText"/>
              <w:jc w:val="center"/>
              <w:rPr>
                <w:szCs w:val="20"/>
              </w:rPr>
            </w:pPr>
            <w:r w:rsidRPr="0090680E">
              <w:rPr>
                <w:b/>
                <w:bCs/>
                <w:szCs w:val="20"/>
              </w:rPr>
              <w:t>redacted</w:t>
            </w:r>
            <w:r w:rsidR="004F46A7" w:rsidRPr="0090680E">
              <w:rPr>
                <w:szCs w:val="20"/>
                <w:vertAlign w:val="superscript"/>
              </w:rPr>
              <w:t>4</w:t>
            </w:r>
          </w:p>
        </w:tc>
        <w:tc>
          <w:tcPr>
            <w:tcW w:w="628" w:type="pct"/>
            <w:shd w:val="clear" w:color="auto" w:fill="auto"/>
            <w:vAlign w:val="center"/>
          </w:tcPr>
          <w:p w14:paraId="4EF4F403" w14:textId="3203687F" w:rsidR="007575A9" w:rsidRPr="00B03153" w:rsidRDefault="0090680E" w:rsidP="0090680E">
            <w:pPr>
              <w:pStyle w:val="TableText"/>
              <w:jc w:val="center"/>
              <w:rPr>
                <w:szCs w:val="20"/>
              </w:rPr>
            </w:pPr>
            <w:r w:rsidRPr="0090680E">
              <w:rPr>
                <w:b/>
                <w:bCs/>
                <w:szCs w:val="20"/>
              </w:rPr>
              <w:t>redacted</w:t>
            </w:r>
            <w:r w:rsidR="004F46A7" w:rsidRPr="0090680E">
              <w:rPr>
                <w:szCs w:val="20"/>
                <w:vertAlign w:val="superscript"/>
              </w:rPr>
              <w:t>4</w:t>
            </w:r>
          </w:p>
        </w:tc>
        <w:tc>
          <w:tcPr>
            <w:tcW w:w="606" w:type="pct"/>
            <w:shd w:val="clear" w:color="auto" w:fill="auto"/>
            <w:vAlign w:val="center"/>
          </w:tcPr>
          <w:p w14:paraId="26420922" w14:textId="47CC9D3D" w:rsidR="007575A9" w:rsidRPr="00B03153" w:rsidRDefault="0090680E" w:rsidP="0090680E">
            <w:pPr>
              <w:pStyle w:val="TableText"/>
              <w:jc w:val="center"/>
              <w:rPr>
                <w:szCs w:val="20"/>
              </w:rPr>
            </w:pPr>
            <w:r w:rsidRPr="0090680E">
              <w:rPr>
                <w:b/>
                <w:bCs/>
                <w:szCs w:val="20"/>
              </w:rPr>
              <w:t>redacted</w:t>
            </w:r>
            <w:r w:rsidR="004F46A7" w:rsidRPr="0090680E">
              <w:rPr>
                <w:szCs w:val="20"/>
                <w:vertAlign w:val="superscript"/>
              </w:rPr>
              <w:t>4</w:t>
            </w:r>
          </w:p>
        </w:tc>
        <w:tc>
          <w:tcPr>
            <w:tcW w:w="622" w:type="pct"/>
            <w:shd w:val="clear" w:color="auto" w:fill="auto"/>
            <w:vAlign w:val="center"/>
          </w:tcPr>
          <w:p w14:paraId="4E65225C" w14:textId="0FB9037B" w:rsidR="007575A9" w:rsidRPr="00B03153" w:rsidRDefault="0090680E" w:rsidP="0090680E">
            <w:pPr>
              <w:pStyle w:val="TableText"/>
              <w:jc w:val="center"/>
              <w:rPr>
                <w:szCs w:val="20"/>
              </w:rPr>
            </w:pPr>
            <w:r w:rsidRPr="0090680E">
              <w:rPr>
                <w:b/>
                <w:bCs/>
                <w:szCs w:val="20"/>
              </w:rPr>
              <w:t>redacted</w:t>
            </w:r>
            <w:r w:rsidR="004F46A7" w:rsidRPr="0090680E">
              <w:rPr>
                <w:szCs w:val="20"/>
                <w:vertAlign w:val="superscript"/>
              </w:rPr>
              <w:t>4</w:t>
            </w:r>
          </w:p>
        </w:tc>
      </w:tr>
      <w:tr w:rsidR="000642BF" w:rsidRPr="00026770" w14:paraId="4A7A5383" w14:textId="77777777" w:rsidTr="0090680E">
        <w:tc>
          <w:tcPr>
            <w:tcW w:w="1257" w:type="pct"/>
            <w:shd w:val="clear" w:color="auto" w:fill="auto"/>
          </w:tcPr>
          <w:p w14:paraId="7F2411BD" w14:textId="366485A0" w:rsidR="007575A9" w:rsidRPr="00026770" w:rsidRDefault="007575A9" w:rsidP="00583870">
            <w:pPr>
              <w:pStyle w:val="TableText"/>
              <w:rPr>
                <w:szCs w:val="20"/>
              </w:rPr>
            </w:pPr>
            <w:r w:rsidRPr="00026770">
              <w:rPr>
                <w:szCs w:val="20"/>
              </w:rPr>
              <w:t xml:space="preserve">Total costs to the MBS for </w:t>
            </w:r>
            <w:r w:rsidRPr="0066027B">
              <w:rPr>
                <w:i/>
                <w:iCs/>
                <w:szCs w:val="20"/>
              </w:rPr>
              <w:t>BRCA</w:t>
            </w:r>
            <w:r w:rsidRPr="00026770">
              <w:rPr>
                <w:szCs w:val="20"/>
              </w:rPr>
              <w:t xml:space="preserve"> testing</w:t>
            </w:r>
            <w:r w:rsidR="00D02146">
              <w:rPr>
                <w:szCs w:val="20"/>
              </w:rPr>
              <w:t xml:space="preserve"> (80% rebate)</w:t>
            </w:r>
          </w:p>
        </w:tc>
        <w:tc>
          <w:tcPr>
            <w:tcW w:w="629" w:type="pct"/>
            <w:shd w:val="clear" w:color="auto" w:fill="auto"/>
            <w:vAlign w:val="center"/>
          </w:tcPr>
          <w:p w14:paraId="25C97F31" w14:textId="42589B03" w:rsidR="007575A9"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p>
        </w:tc>
        <w:tc>
          <w:tcPr>
            <w:tcW w:w="629" w:type="pct"/>
            <w:shd w:val="clear" w:color="auto" w:fill="auto"/>
            <w:vAlign w:val="center"/>
          </w:tcPr>
          <w:p w14:paraId="3E21341F" w14:textId="5C3FA512" w:rsidR="007575A9"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p>
        </w:tc>
        <w:tc>
          <w:tcPr>
            <w:tcW w:w="629" w:type="pct"/>
            <w:shd w:val="clear" w:color="auto" w:fill="auto"/>
            <w:vAlign w:val="center"/>
          </w:tcPr>
          <w:p w14:paraId="1AD96161" w14:textId="10AC7B5C" w:rsidR="007575A9"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r w:rsidR="007575A9" w:rsidRPr="0090680E">
              <w:rPr>
                <w:szCs w:val="20"/>
                <w:vertAlign w:val="superscript"/>
              </w:rPr>
              <w:t>b</w:t>
            </w:r>
          </w:p>
        </w:tc>
        <w:tc>
          <w:tcPr>
            <w:tcW w:w="628" w:type="pct"/>
            <w:shd w:val="clear" w:color="auto" w:fill="auto"/>
            <w:vAlign w:val="center"/>
          </w:tcPr>
          <w:p w14:paraId="20799118" w14:textId="44052767" w:rsidR="007575A9"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p>
        </w:tc>
        <w:tc>
          <w:tcPr>
            <w:tcW w:w="606" w:type="pct"/>
            <w:shd w:val="clear" w:color="auto" w:fill="auto"/>
            <w:vAlign w:val="center"/>
          </w:tcPr>
          <w:p w14:paraId="72C00ACD" w14:textId="14C56FFD" w:rsidR="007575A9"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p>
        </w:tc>
        <w:tc>
          <w:tcPr>
            <w:tcW w:w="622" w:type="pct"/>
            <w:shd w:val="clear" w:color="auto" w:fill="auto"/>
            <w:vAlign w:val="center"/>
          </w:tcPr>
          <w:p w14:paraId="4C6B4672" w14:textId="75660104" w:rsidR="007575A9"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p>
        </w:tc>
      </w:tr>
      <w:tr w:rsidR="000642BF" w:rsidRPr="00026770" w14:paraId="3EE7586C" w14:textId="77777777" w:rsidTr="0090680E">
        <w:tc>
          <w:tcPr>
            <w:tcW w:w="1257" w:type="pct"/>
            <w:shd w:val="clear" w:color="auto" w:fill="auto"/>
          </w:tcPr>
          <w:p w14:paraId="3DAE7E57" w14:textId="3C34DFD8" w:rsidR="00450413" w:rsidRPr="0066027B" w:rsidRDefault="00450413" w:rsidP="00583870">
            <w:pPr>
              <w:pStyle w:val="TableText"/>
              <w:rPr>
                <w:szCs w:val="20"/>
              </w:rPr>
            </w:pPr>
            <w:r w:rsidRPr="0066027B">
              <w:rPr>
                <w:szCs w:val="20"/>
              </w:rPr>
              <w:t xml:space="preserve">Total costs to the MBS </w:t>
            </w:r>
            <w:r w:rsidR="00696D2B" w:rsidRPr="0066027B">
              <w:rPr>
                <w:szCs w:val="20"/>
              </w:rPr>
              <w:t>(</w:t>
            </w:r>
            <w:r w:rsidRPr="0066027B">
              <w:rPr>
                <w:szCs w:val="20"/>
              </w:rPr>
              <w:t>adjusted for GPG</w:t>
            </w:r>
            <w:r w:rsidR="00696D2B" w:rsidRPr="0066027B">
              <w:rPr>
                <w:szCs w:val="20"/>
              </w:rPr>
              <w:t>)</w:t>
            </w:r>
          </w:p>
        </w:tc>
        <w:tc>
          <w:tcPr>
            <w:tcW w:w="629" w:type="pct"/>
            <w:shd w:val="clear" w:color="auto" w:fill="auto"/>
            <w:vAlign w:val="center"/>
          </w:tcPr>
          <w:p w14:paraId="6A319BE1" w14:textId="6541FAED" w:rsidR="00450413"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p>
        </w:tc>
        <w:tc>
          <w:tcPr>
            <w:tcW w:w="629" w:type="pct"/>
            <w:shd w:val="clear" w:color="auto" w:fill="auto"/>
            <w:vAlign w:val="center"/>
          </w:tcPr>
          <w:p w14:paraId="0C36037F" w14:textId="2F443555" w:rsidR="00450413"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p>
        </w:tc>
        <w:tc>
          <w:tcPr>
            <w:tcW w:w="629" w:type="pct"/>
            <w:shd w:val="clear" w:color="auto" w:fill="auto"/>
            <w:vAlign w:val="center"/>
          </w:tcPr>
          <w:p w14:paraId="0F30E32D" w14:textId="66BED28C" w:rsidR="00450413"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p>
        </w:tc>
        <w:tc>
          <w:tcPr>
            <w:tcW w:w="628" w:type="pct"/>
            <w:shd w:val="clear" w:color="auto" w:fill="auto"/>
            <w:vAlign w:val="center"/>
          </w:tcPr>
          <w:p w14:paraId="6187E620" w14:textId="41A02870" w:rsidR="00450413"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p>
        </w:tc>
        <w:tc>
          <w:tcPr>
            <w:tcW w:w="606" w:type="pct"/>
            <w:shd w:val="clear" w:color="auto" w:fill="auto"/>
            <w:vAlign w:val="center"/>
          </w:tcPr>
          <w:p w14:paraId="35943CFB" w14:textId="383C39E3" w:rsidR="00450413"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p>
        </w:tc>
        <w:tc>
          <w:tcPr>
            <w:tcW w:w="622" w:type="pct"/>
            <w:shd w:val="clear" w:color="auto" w:fill="auto"/>
            <w:vAlign w:val="center"/>
          </w:tcPr>
          <w:p w14:paraId="12F43D7B" w14:textId="79859433" w:rsidR="00450413" w:rsidRPr="00B03153" w:rsidRDefault="0090680E" w:rsidP="0090680E">
            <w:pPr>
              <w:pStyle w:val="TableText"/>
              <w:jc w:val="center"/>
              <w:rPr>
                <w:szCs w:val="20"/>
              </w:rPr>
            </w:pPr>
            <w:r w:rsidRPr="0090680E">
              <w:rPr>
                <w:b/>
                <w:bCs/>
                <w:szCs w:val="20"/>
              </w:rPr>
              <w:t>redacted</w:t>
            </w:r>
            <w:r w:rsidR="00367D87" w:rsidRPr="0090680E">
              <w:rPr>
                <w:szCs w:val="20"/>
                <w:vertAlign w:val="superscript"/>
              </w:rPr>
              <w:t>3</w:t>
            </w:r>
          </w:p>
        </w:tc>
      </w:tr>
      <w:tr w:rsidR="002B4311" w:rsidRPr="00026770" w14:paraId="22445928" w14:textId="77777777" w:rsidTr="0090680E">
        <w:tc>
          <w:tcPr>
            <w:tcW w:w="1257" w:type="pct"/>
            <w:shd w:val="clear" w:color="auto" w:fill="auto"/>
          </w:tcPr>
          <w:p w14:paraId="13BEC94D" w14:textId="4D8E693F" w:rsidR="002B4311" w:rsidRPr="002F2CD1" w:rsidRDefault="002B4311" w:rsidP="002B4311">
            <w:pPr>
              <w:pStyle w:val="TableText"/>
              <w:rPr>
                <w:szCs w:val="20"/>
                <w:u w:val="single"/>
              </w:rPr>
            </w:pPr>
            <w:r w:rsidRPr="002F2CD1">
              <w:rPr>
                <w:i/>
                <w:iCs/>
                <w:szCs w:val="20"/>
                <w:u w:val="single"/>
                <w:lang w:eastAsia="en-AU"/>
              </w:rPr>
              <w:t>Cost of cascade testing to the MBS 73297 ($340 per relative tested)</w:t>
            </w:r>
            <w:r w:rsidR="002B5D90">
              <w:rPr>
                <w:i/>
                <w:iCs/>
                <w:szCs w:val="20"/>
                <w:u w:val="single"/>
                <w:vertAlign w:val="superscript"/>
                <w:lang w:eastAsia="en-AU"/>
              </w:rPr>
              <w:t>d</w:t>
            </w:r>
          </w:p>
        </w:tc>
        <w:tc>
          <w:tcPr>
            <w:tcW w:w="629" w:type="pct"/>
            <w:shd w:val="clear" w:color="auto" w:fill="auto"/>
            <w:vAlign w:val="center"/>
          </w:tcPr>
          <w:p w14:paraId="193D53C2" w14:textId="14936775" w:rsidR="002B4311" w:rsidRPr="00B03153" w:rsidRDefault="0090680E" w:rsidP="0090680E">
            <w:pPr>
              <w:pStyle w:val="TableText"/>
              <w:jc w:val="center"/>
              <w:rPr>
                <w:szCs w:val="20"/>
                <w:u w:val="single"/>
              </w:rPr>
            </w:pPr>
            <w:r w:rsidRPr="0090680E">
              <w:rPr>
                <w:b/>
                <w:bCs/>
                <w:szCs w:val="20"/>
              </w:rPr>
              <w:t>redacted</w:t>
            </w:r>
            <w:r w:rsidR="00367D87" w:rsidRPr="0090680E">
              <w:rPr>
                <w:szCs w:val="20"/>
                <w:vertAlign w:val="superscript"/>
              </w:rPr>
              <w:t>3</w:t>
            </w:r>
          </w:p>
        </w:tc>
        <w:tc>
          <w:tcPr>
            <w:tcW w:w="629" w:type="pct"/>
            <w:shd w:val="clear" w:color="auto" w:fill="auto"/>
            <w:vAlign w:val="center"/>
          </w:tcPr>
          <w:p w14:paraId="60C30993" w14:textId="75F4C1F3" w:rsidR="002B4311" w:rsidRPr="00B03153" w:rsidRDefault="0090680E" w:rsidP="0090680E">
            <w:pPr>
              <w:pStyle w:val="TableText"/>
              <w:jc w:val="center"/>
              <w:rPr>
                <w:szCs w:val="20"/>
                <w:u w:val="single"/>
              </w:rPr>
            </w:pPr>
            <w:r w:rsidRPr="0090680E">
              <w:rPr>
                <w:b/>
                <w:bCs/>
                <w:szCs w:val="20"/>
              </w:rPr>
              <w:t>redacted</w:t>
            </w:r>
            <w:r w:rsidR="00367D87" w:rsidRPr="0090680E">
              <w:rPr>
                <w:szCs w:val="20"/>
                <w:vertAlign w:val="superscript"/>
              </w:rPr>
              <w:t>3</w:t>
            </w:r>
          </w:p>
        </w:tc>
        <w:tc>
          <w:tcPr>
            <w:tcW w:w="629" w:type="pct"/>
            <w:shd w:val="clear" w:color="auto" w:fill="auto"/>
            <w:vAlign w:val="center"/>
          </w:tcPr>
          <w:p w14:paraId="35532CE9" w14:textId="49C18E4C" w:rsidR="002B4311" w:rsidRPr="00B03153" w:rsidRDefault="0090680E" w:rsidP="0090680E">
            <w:pPr>
              <w:pStyle w:val="TableText"/>
              <w:jc w:val="center"/>
              <w:rPr>
                <w:szCs w:val="20"/>
                <w:u w:val="single"/>
              </w:rPr>
            </w:pPr>
            <w:r w:rsidRPr="0090680E">
              <w:rPr>
                <w:b/>
                <w:bCs/>
                <w:szCs w:val="20"/>
              </w:rPr>
              <w:t>redacted</w:t>
            </w:r>
            <w:r w:rsidR="00367D87" w:rsidRPr="0090680E">
              <w:rPr>
                <w:szCs w:val="20"/>
                <w:vertAlign w:val="superscript"/>
              </w:rPr>
              <w:t>3</w:t>
            </w:r>
          </w:p>
        </w:tc>
        <w:tc>
          <w:tcPr>
            <w:tcW w:w="628" w:type="pct"/>
            <w:shd w:val="clear" w:color="auto" w:fill="auto"/>
            <w:vAlign w:val="center"/>
          </w:tcPr>
          <w:p w14:paraId="52EEBEAF" w14:textId="217CDFBD" w:rsidR="002B4311" w:rsidRPr="00B03153" w:rsidRDefault="0090680E" w:rsidP="0090680E">
            <w:pPr>
              <w:pStyle w:val="TableText"/>
              <w:jc w:val="center"/>
              <w:rPr>
                <w:szCs w:val="20"/>
                <w:u w:val="single"/>
              </w:rPr>
            </w:pPr>
            <w:r w:rsidRPr="0090680E">
              <w:rPr>
                <w:b/>
                <w:bCs/>
                <w:szCs w:val="20"/>
              </w:rPr>
              <w:t>redacted</w:t>
            </w:r>
            <w:r w:rsidR="00367D87" w:rsidRPr="0090680E">
              <w:rPr>
                <w:szCs w:val="20"/>
                <w:vertAlign w:val="superscript"/>
              </w:rPr>
              <w:t>3</w:t>
            </w:r>
          </w:p>
        </w:tc>
        <w:tc>
          <w:tcPr>
            <w:tcW w:w="606" w:type="pct"/>
            <w:shd w:val="clear" w:color="auto" w:fill="auto"/>
            <w:vAlign w:val="center"/>
          </w:tcPr>
          <w:p w14:paraId="2C1629D3" w14:textId="4EA01F3D" w:rsidR="002B4311" w:rsidRPr="00B03153" w:rsidRDefault="0090680E" w:rsidP="0090680E">
            <w:pPr>
              <w:pStyle w:val="TableText"/>
              <w:jc w:val="center"/>
              <w:rPr>
                <w:szCs w:val="20"/>
                <w:u w:val="single"/>
              </w:rPr>
            </w:pPr>
            <w:r w:rsidRPr="0090680E">
              <w:rPr>
                <w:b/>
                <w:bCs/>
                <w:szCs w:val="20"/>
              </w:rPr>
              <w:t>redacted</w:t>
            </w:r>
            <w:r w:rsidR="00367D87" w:rsidRPr="0090680E">
              <w:rPr>
                <w:szCs w:val="20"/>
                <w:vertAlign w:val="superscript"/>
              </w:rPr>
              <w:t>3</w:t>
            </w:r>
          </w:p>
        </w:tc>
        <w:tc>
          <w:tcPr>
            <w:tcW w:w="622" w:type="pct"/>
            <w:shd w:val="clear" w:color="auto" w:fill="auto"/>
            <w:vAlign w:val="center"/>
          </w:tcPr>
          <w:p w14:paraId="694F4CDB" w14:textId="6FDB4F3C" w:rsidR="002B4311" w:rsidRPr="00B03153" w:rsidRDefault="0090680E" w:rsidP="0090680E">
            <w:pPr>
              <w:pStyle w:val="TableText"/>
              <w:jc w:val="center"/>
              <w:rPr>
                <w:szCs w:val="20"/>
                <w:u w:val="single"/>
              </w:rPr>
            </w:pPr>
            <w:r w:rsidRPr="0090680E">
              <w:rPr>
                <w:b/>
                <w:bCs/>
                <w:szCs w:val="20"/>
              </w:rPr>
              <w:t>redacted</w:t>
            </w:r>
            <w:r w:rsidR="00367D87" w:rsidRPr="0090680E">
              <w:rPr>
                <w:szCs w:val="20"/>
                <w:vertAlign w:val="superscript"/>
              </w:rPr>
              <w:t>3</w:t>
            </w:r>
          </w:p>
        </w:tc>
      </w:tr>
      <w:tr w:rsidR="00367D87" w:rsidRPr="00026770" w14:paraId="6F1A9095" w14:textId="77777777" w:rsidTr="0090680E">
        <w:tc>
          <w:tcPr>
            <w:tcW w:w="1257" w:type="pct"/>
            <w:shd w:val="clear" w:color="auto" w:fill="auto"/>
          </w:tcPr>
          <w:p w14:paraId="51E2A919" w14:textId="77777777" w:rsidR="00367D87" w:rsidRPr="00081580" w:rsidRDefault="00367D87" w:rsidP="00367D87">
            <w:pPr>
              <w:pStyle w:val="TableText"/>
              <w:rPr>
                <w:i/>
                <w:iCs/>
                <w:szCs w:val="20"/>
              </w:rPr>
            </w:pPr>
            <w:r w:rsidRPr="00081580">
              <w:rPr>
                <w:b/>
                <w:szCs w:val="20"/>
              </w:rPr>
              <w:t>Total costs to Government</w:t>
            </w:r>
          </w:p>
        </w:tc>
        <w:tc>
          <w:tcPr>
            <w:tcW w:w="629" w:type="pct"/>
            <w:shd w:val="clear" w:color="auto" w:fill="auto"/>
            <w:vAlign w:val="center"/>
          </w:tcPr>
          <w:p w14:paraId="7F7DFC1F" w14:textId="4B7B9619" w:rsidR="00367D87" w:rsidRPr="0090680E" w:rsidRDefault="0090680E" w:rsidP="0090680E">
            <w:pPr>
              <w:pStyle w:val="TableText"/>
              <w:jc w:val="center"/>
              <w:rPr>
                <w:szCs w:val="20"/>
              </w:rPr>
            </w:pPr>
            <w:r w:rsidRPr="0090680E">
              <w:rPr>
                <w:b/>
                <w:bCs/>
                <w:szCs w:val="20"/>
              </w:rPr>
              <w:t>redacted</w:t>
            </w:r>
            <w:r w:rsidR="00367D87" w:rsidRPr="0090680E">
              <w:rPr>
                <w:szCs w:val="20"/>
                <w:vertAlign w:val="superscript"/>
              </w:rPr>
              <w:t>4</w:t>
            </w:r>
          </w:p>
        </w:tc>
        <w:tc>
          <w:tcPr>
            <w:tcW w:w="629" w:type="pct"/>
            <w:shd w:val="clear" w:color="auto" w:fill="auto"/>
            <w:vAlign w:val="center"/>
          </w:tcPr>
          <w:p w14:paraId="1F3E1B83" w14:textId="5F3A2D19" w:rsidR="00367D87" w:rsidRPr="0090680E" w:rsidRDefault="0090680E" w:rsidP="0090680E">
            <w:pPr>
              <w:pStyle w:val="TableText"/>
              <w:jc w:val="center"/>
              <w:rPr>
                <w:szCs w:val="20"/>
              </w:rPr>
            </w:pPr>
            <w:r w:rsidRPr="0090680E">
              <w:rPr>
                <w:b/>
                <w:bCs/>
                <w:szCs w:val="20"/>
              </w:rPr>
              <w:t>redacted</w:t>
            </w:r>
            <w:r w:rsidR="00367D87" w:rsidRPr="0090680E">
              <w:rPr>
                <w:szCs w:val="20"/>
                <w:vertAlign w:val="superscript"/>
              </w:rPr>
              <w:t>4</w:t>
            </w:r>
          </w:p>
        </w:tc>
        <w:tc>
          <w:tcPr>
            <w:tcW w:w="629" w:type="pct"/>
            <w:shd w:val="clear" w:color="auto" w:fill="auto"/>
            <w:vAlign w:val="center"/>
          </w:tcPr>
          <w:p w14:paraId="2CB239CC" w14:textId="55E10720" w:rsidR="00367D87" w:rsidRPr="0090680E" w:rsidRDefault="0090680E" w:rsidP="0090680E">
            <w:pPr>
              <w:pStyle w:val="TableText"/>
              <w:jc w:val="center"/>
              <w:rPr>
                <w:szCs w:val="20"/>
              </w:rPr>
            </w:pPr>
            <w:r w:rsidRPr="0090680E">
              <w:rPr>
                <w:b/>
                <w:bCs/>
                <w:szCs w:val="20"/>
              </w:rPr>
              <w:t>redacted</w:t>
            </w:r>
            <w:r w:rsidR="00367D87" w:rsidRPr="0090680E">
              <w:rPr>
                <w:szCs w:val="20"/>
                <w:vertAlign w:val="superscript"/>
              </w:rPr>
              <w:t>4</w:t>
            </w:r>
          </w:p>
        </w:tc>
        <w:tc>
          <w:tcPr>
            <w:tcW w:w="628" w:type="pct"/>
            <w:shd w:val="clear" w:color="auto" w:fill="auto"/>
            <w:vAlign w:val="center"/>
          </w:tcPr>
          <w:p w14:paraId="4C600C58" w14:textId="34DB37CF" w:rsidR="00367D87" w:rsidRPr="0090680E" w:rsidRDefault="0090680E" w:rsidP="0090680E">
            <w:pPr>
              <w:pStyle w:val="TableText"/>
              <w:jc w:val="center"/>
              <w:rPr>
                <w:szCs w:val="20"/>
              </w:rPr>
            </w:pPr>
            <w:r w:rsidRPr="0090680E">
              <w:rPr>
                <w:b/>
                <w:bCs/>
                <w:szCs w:val="20"/>
              </w:rPr>
              <w:t>redacted</w:t>
            </w:r>
            <w:r w:rsidR="00367D87" w:rsidRPr="0090680E">
              <w:rPr>
                <w:szCs w:val="20"/>
                <w:vertAlign w:val="superscript"/>
              </w:rPr>
              <w:t>4</w:t>
            </w:r>
          </w:p>
        </w:tc>
        <w:tc>
          <w:tcPr>
            <w:tcW w:w="606" w:type="pct"/>
            <w:shd w:val="clear" w:color="auto" w:fill="auto"/>
            <w:vAlign w:val="center"/>
          </w:tcPr>
          <w:p w14:paraId="1BC65F84" w14:textId="58F8CA3A" w:rsidR="00367D87" w:rsidRPr="0090680E" w:rsidRDefault="0090680E" w:rsidP="0090680E">
            <w:pPr>
              <w:pStyle w:val="TableText"/>
              <w:jc w:val="center"/>
              <w:rPr>
                <w:szCs w:val="20"/>
              </w:rPr>
            </w:pPr>
            <w:r w:rsidRPr="0090680E">
              <w:rPr>
                <w:b/>
                <w:bCs/>
                <w:szCs w:val="20"/>
              </w:rPr>
              <w:t>redacted</w:t>
            </w:r>
            <w:r w:rsidR="00367D87" w:rsidRPr="0090680E">
              <w:rPr>
                <w:szCs w:val="20"/>
                <w:vertAlign w:val="superscript"/>
              </w:rPr>
              <w:t>4</w:t>
            </w:r>
          </w:p>
        </w:tc>
        <w:tc>
          <w:tcPr>
            <w:tcW w:w="622" w:type="pct"/>
            <w:vAlign w:val="center"/>
          </w:tcPr>
          <w:p w14:paraId="244B12BD" w14:textId="5B72FE97" w:rsidR="00367D87" w:rsidRPr="0090680E" w:rsidRDefault="0090680E" w:rsidP="0090680E">
            <w:pPr>
              <w:pStyle w:val="TableText"/>
              <w:jc w:val="center"/>
              <w:rPr>
                <w:szCs w:val="20"/>
              </w:rPr>
            </w:pPr>
            <w:r w:rsidRPr="0090680E">
              <w:rPr>
                <w:b/>
                <w:bCs/>
                <w:szCs w:val="20"/>
              </w:rPr>
              <w:t>redacted</w:t>
            </w:r>
            <w:r w:rsidR="00367D87" w:rsidRPr="0090680E">
              <w:rPr>
                <w:szCs w:val="20"/>
                <w:vertAlign w:val="superscript"/>
              </w:rPr>
              <w:t>4</w:t>
            </w:r>
          </w:p>
        </w:tc>
      </w:tr>
      <w:tr w:rsidR="00367D87" w:rsidRPr="00026770" w14:paraId="05B122AC" w14:textId="77777777" w:rsidTr="0090680E">
        <w:tc>
          <w:tcPr>
            <w:tcW w:w="1257" w:type="pct"/>
            <w:shd w:val="clear" w:color="auto" w:fill="auto"/>
          </w:tcPr>
          <w:p w14:paraId="58CEFE31" w14:textId="1105F806" w:rsidR="00367D87" w:rsidRPr="00081580" w:rsidRDefault="00367D87" w:rsidP="00367D87">
            <w:pPr>
              <w:pStyle w:val="TableText"/>
              <w:rPr>
                <w:b/>
                <w:szCs w:val="20"/>
              </w:rPr>
            </w:pPr>
            <w:r w:rsidRPr="00081580">
              <w:rPr>
                <w:b/>
                <w:szCs w:val="20"/>
              </w:rPr>
              <w:t>Total cost to Government (adjusted for GPG)</w:t>
            </w:r>
          </w:p>
        </w:tc>
        <w:tc>
          <w:tcPr>
            <w:tcW w:w="629" w:type="pct"/>
            <w:shd w:val="clear" w:color="auto" w:fill="auto"/>
            <w:vAlign w:val="center"/>
          </w:tcPr>
          <w:p w14:paraId="17FA8834" w14:textId="659DD9CB" w:rsidR="00367D87" w:rsidRPr="00B03153" w:rsidRDefault="0090680E" w:rsidP="0090680E">
            <w:pPr>
              <w:pStyle w:val="TableText"/>
              <w:jc w:val="center"/>
              <w:rPr>
                <w:b/>
                <w:szCs w:val="20"/>
              </w:rPr>
            </w:pPr>
            <w:r w:rsidRPr="0090680E">
              <w:rPr>
                <w:b/>
                <w:bCs/>
                <w:szCs w:val="20"/>
              </w:rPr>
              <w:t>redacted</w:t>
            </w:r>
            <w:r w:rsidR="00367D87" w:rsidRPr="0090680E">
              <w:rPr>
                <w:szCs w:val="20"/>
                <w:vertAlign w:val="superscript"/>
              </w:rPr>
              <w:t>4</w:t>
            </w:r>
          </w:p>
        </w:tc>
        <w:tc>
          <w:tcPr>
            <w:tcW w:w="629" w:type="pct"/>
            <w:shd w:val="clear" w:color="auto" w:fill="auto"/>
            <w:vAlign w:val="center"/>
          </w:tcPr>
          <w:p w14:paraId="0147E3AC" w14:textId="73B93302" w:rsidR="00367D87" w:rsidRPr="00B03153" w:rsidRDefault="0090680E" w:rsidP="0090680E">
            <w:pPr>
              <w:pStyle w:val="TableText"/>
              <w:jc w:val="center"/>
              <w:rPr>
                <w:b/>
                <w:szCs w:val="20"/>
              </w:rPr>
            </w:pPr>
            <w:r w:rsidRPr="0090680E">
              <w:rPr>
                <w:b/>
                <w:bCs/>
                <w:szCs w:val="20"/>
              </w:rPr>
              <w:t>redacted</w:t>
            </w:r>
            <w:r w:rsidR="00367D87" w:rsidRPr="0090680E">
              <w:rPr>
                <w:szCs w:val="20"/>
                <w:vertAlign w:val="superscript"/>
              </w:rPr>
              <w:t>4</w:t>
            </w:r>
          </w:p>
        </w:tc>
        <w:tc>
          <w:tcPr>
            <w:tcW w:w="629" w:type="pct"/>
            <w:shd w:val="clear" w:color="auto" w:fill="auto"/>
            <w:vAlign w:val="center"/>
          </w:tcPr>
          <w:p w14:paraId="3DF5FA7A" w14:textId="22E6D402" w:rsidR="00367D87" w:rsidRPr="00B03153" w:rsidRDefault="0090680E" w:rsidP="0090680E">
            <w:pPr>
              <w:pStyle w:val="TableText"/>
              <w:jc w:val="center"/>
              <w:rPr>
                <w:b/>
                <w:szCs w:val="20"/>
              </w:rPr>
            </w:pPr>
            <w:r w:rsidRPr="0090680E">
              <w:rPr>
                <w:b/>
                <w:bCs/>
                <w:szCs w:val="20"/>
              </w:rPr>
              <w:t>redacted</w:t>
            </w:r>
            <w:r w:rsidR="00367D87" w:rsidRPr="0090680E">
              <w:rPr>
                <w:szCs w:val="20"/>
                <w:vertAlign w:val="superscript"/>
              </w:rPr>
              <w:t>4</w:t>
            </w:r>
          </w:p>
        </w:tc>
        <w:tc>
          <w:tcPr>
            <w:tcW w:w="628" w:type="pct"/>
            <w:shd w:val="clear" w:color="auto" w:fill="auto"/>
            <w:vAlign w:val="center"/>
          </w:tcPr>
          <w:p w14:paraId="2096EE9E" w14:textId="0C600302" w:rsidR="00367D87" w:rsidRPr="00B03153" w:rsidRDefault="0090680E" w:rsidP="0090680E">
            <w:pPr>
              <w:pStyle w:val="TableText"/>
              <w:jc w:val="center"/>
              <w:rPr>
                <w:b/>
                <w:szCs w:val="20"/>
              </w:rPr>
            </w:pPr>
            <w:r w:rsidRPr="0090680E">
              <w:rPr>
                <w:b/>
                <w:bCs/>
                <w:szCs w:val="20"/>
              </w:rPr>
              <w:t>redacted</w:t>
            </w:r>
            <w:r w:rsidR="00367D87" w:rsidRPr="0090680E">
              <w:rPr>
                <w:szCs w:val="20"/>
                <w:vertAlign w:val="superscript"/>
              </w:rPr>
              <w:t>4</w:t>
            </w:r>
          </w:p>
        </w:tc>
        <w:tc>
          <w:tcPr>
            <w:tcW w:w="606" w:type="pct"/>
            <w:shd w:val="clear" w:color="auto" w:fill="auto"/>
            <w:vAlign w:val="center"/>
          </w:tcPr>
          <w:p w14:paraId="594CEF99" w14:textId="5A6012A1" w:rsidR="00367D87" w:rsidRPr="00B03153" w:rsidRDefault="0090680E" w:rsidP="0090680E">
            <w:pPr>
              <w:pStyle w:val="TableText"/>
              <w:jc w:val="center"/>
              <w:rPr>
                <w:b/>
                <w:szCs w:val="20"/>
              </w:rPr>
            </w:pPr>
            <w:r w:rsidRPr="0090680E">
              <w:rPr>
                <w:b/>
                <w:bCs/>
                <w:szCs w:val="20"/>
              </w:rPr>
              <w:t>redacted</w:t>
            </w:r>
            <w:r w:rsidR="00367D87" w:rsidRPr="0090680E">
              <w:rPr>
                <w:szCs w:val="20"/>
                <w:vertAlign w:val="superscript"/>
              </w:rPr>
              <w:t>4</w:t>
            </w:r>
          </w:p>
        </w:tc>
        <w:tc>
          <w:tcPr>
            <w:tcW w:w="622" w:type="pct"/>
            <w:vAlign w:val="center"/>
          </w:tcPr>
          <w:p w14:paraId="7790B65E" w14:textId="32B79F74" w:rsidR="00367D87" w:rsidRPr="00B03153" w:rsidRDefault="0090680E" w:rsidP="0090680E">
            <w:pPr>
              <w:pStyle w:val="TableText"/>
              <w:jc w:val="center"/>
              <w:rPr>
                <w:b/>
                <w:szCs w:val="20"/>
              </w:rPr>
            </w:pPr>
            <w:r w:rsidRPr="0090680E">
              <w:rPr>
                <w:b/>
                <w:bCs/>
                <w:szCs w:val="20"/>
              </w:rPr>
              <w:t>redacted</w:t>
            </w:r>
            <w:r w:rsidR="00367D87" w:rsidRPr="0090680E">
              <w:rPr>
                <w:szCs w:val="20"/>
                <w:vertAlign w:val="superscript"/>
              </w:rPr>
              <w:t>5</w:t>
            </w:r>
          </w:p>
        </w:tc>
      </w:tr>
      <w:tr w:rsidR="00367D87" w:rsidRPr="00026770" w14:paraId="77329F25" w14:textId="77777777" w:rsidTr="0090680E">
        <w:tc>
          <w:tcPr>
            <w:tcW w:w="1257" w:type="pct"/>
            <w:shd w:val="clear" w:color="auto" w:fill="auto"/>
            <w:vAlign w:val="center"/>
          </w:tcPr>
          <w:p w14:paraId="40DE6CDB" w14:textId="5DEF4154" w:rsidR="00367D87" w:rsidRPr="002F2CD1" w:rsidRDefault="00367D87" w:rsidP="00367D87">
            <w:pPr>
              <w:pStyle w:val="TableText"/>
              <w:rPr>
                <w:b/>
                <w:szCs w:val="20"/>
                <w:u w:val="single"/>
              </w:rPr>
            </w:pPr>
            <w:r w:rsidRPr="002F2CD1">
              <w:rPr>
                <w:i/>
                <w:iCs/>
                <w:szCs w:val="20"/>
                <w:u w:val="single"/>
                <w:lang w:eastAsia="en-AU"/>
              </w:rPr>
              <w:lastRenderedPageBreak/>
              <w:t>Total cost to Government (adjusted for GPG and including cascade testing)</w:t>
            </w:r>
          </w:p>
        </w:tc>
        <w:tc>
          <w:tcPr>
            <w:tcW w:w="629" w:type="pct"/>
            <w:shd w:val="clear" w:color="auto" w:fill="auto"/>
            <w:vAlign w:val="center"/>
          </w:tcPr>
          <w:p w14:paraId="3002D6D7" w14:textId="496CED5F" w:rsidR="00367D87" w:rsidRPr="00B03153" w:rsidRDefault="0090680E" w:rsidP="0090680E">
            <w:pPr>
              <w:pStyle w:val="TableText"/>
              <w:jc w:val="center"/>
              <w:rPr>
                <w:b/>
                <w:szCs w:val="20"/>
                <w:u w:val="single"/>
              </w:rPr>
            </w:pPr>
            <w:r w:rsidRPr="0090680E">
              <w:rPr>
                <w:b/>
                <w:bCs/>
                <w:szCs w:val="20"/>
              </w:rPr>
              <w:t>redacted</w:t>
            </w:r>
            <w:r w:rsidR="00367D87" w:rsidRPr="0090680E">
              <w:rPr>
                <w:szCs w:val="20"/>
                <w:vertAlign w:val="superscript"/>
              </w:rPr>
              <w:t>4</w:t>
            </w:r>
          </w:p>
        </w:tc>
        <w:tc>
          <w:tcPr>
            <w:tcW w:w="629" w:type="pct"/>
            <w:shd w:val="clear" w:color="auto" w:fill="auto"/>
            <w:vAlign w:val="center"/>
          </w:tcPr>
          <w:p w14:paraId="77F8C24E" w14:textId="72DB333F" w:rsidR="00367D87" w:rsidRPr="00B03153" w:rsidRDefault="0090680E" w:rsidP="0090680E">
            <w:pPr>
              <w:pStyle w:val="TableText"/>
              <w:jc w:val="center"/>
              <w:rPr>
                <w:b/>
                <w:szCs w:val="20"/>
                <w:u w:val="single"/>
              </w:rPr>
            </w:pPr>
            <w:r w:rsidRPr="0090680E">
              <w:rPr>
                <w:b/>
                <w:bCs/>
                <w:szCs w:val="20"/>
              </w:rPr>
              <w:t>redacted</w:t>
            </w:r>
            <w:r w:rsidR="00367D87" w:rsidRPr="0090680E">
              <w:rPr>
                <w:szCs w:val="20"/>
                <w:vertAlign w:val="superscript"/>
              </w:rPr>
              <w:t>4</w:t>
            </w:r>
          </w:p>
        </w:tc>
        <w:tc>
          <w:tcPr>
            <w:tcW w:w="629" w:type="pct"/>
            <w:shd w:val="clear" w:color="auto" w:fill="auto"/>
            <w:vAlign w:val="center"/>
          </w:tcPr>
          <w:p w14:paraId="1D432020" w14:textId="5E49DAA4" w:rsidR="00367D87" w:rsidRPr="00B03153" w:rsidRDefault="0090680E" w:rsidP="0090680E">
            <w:pPr>
              <w:pStyle w:val="TableText"/>
              <w:jc w:val="center"/>
              <w:rPr>
                <w:b/>
                <w:szCs w:val="20"/>
                <w:u w:val="single"/>
              </w:rPr>
            </w:pPr>
            <w:r w:rsidRPr="0090680E">
              <w:rPr>
                <w:b/>
                <w:bCs/>
                <w:szCs w:val="20"/>
              </w:rPr>
              <w:t>redacted</w:t>
            </w:r>
            <w:r w:rsidR="00367D87" w:rsidRPr="0090680E">
              <w:rPr>
                <w:szCs w:val="20"/>
                <w:vertAlign w:val="superscript"/>
              </w:rPr>
              <w:t>4</w:t>
            </w:r>
          </w:p>
        </w:tc>
        <w:tc>
          <w:tcPr>
            <w:tcW w:w="628" w:type="pct"/>
            <w:shd w:val="clear" w:color="auto" w:fill="auto"/>
            <w:vAlign w:val="center"/>
          </w:tcPr>
          <w:p w14:paraId="333433C8" w14:textId="5255AF00" w:rsidR="00367D87" w:rsidRPr="00B03153" w:rsidRDefault="0090680E" w:rsidP="0090680E">
            <w:pPr>
              <w:pStyle w:val="TableText"/>
              <w:jc w:val="center"/>
              <w:rPr>
                <w:b/>
                <w:szCs w:val="20"/>
                <w:u w:val="single"/>
              </w:rPr>
            </w:pPr>
            <w:r w:rsidRPr="0090680E">
              <w:rPr>
                <w:b/>
                <w:bCs/>
                <w:szCs w:val="20"/>
              </w:rPr>
              <w:t>redacted</w:t>
            </w:r>
            <w:r w:rsidR="00367D87" w:rsidRPr="0090680E">
              <w:rPr>
                <w:szCs w:val="20"/>
                <w:vertAlign w:val="superscript"/>
              </w:rPr>
              <w:t>4</w:t>
            </w:r>
          </w:p>
        </w:tc>
        <w:tc>
          <w:tcPr>
            <w:tcW w:w="606" w:type="pct"/>
            <w:shd w:val="clear" w:color="auto" w:fill="auto"/>
            <w:vAlign w:val="center"/>
          </w:tcPr>
          <w:p w14:paraId="74B3566C" w14:textId="3C2782A5" w:rsidR="00367D87" w:rsidRPr="00B03153" w:rsidRDefault="0090680E" w:rsidP="0090680E">
            <w:pPr>
              <w:pStyle w:val="TableText"/>
              <w:jc w:val="center"/>
              <w:rPr>
                <w:b/>
                <w:szCs w:val="20"/>
                <w:u w:val="single"/>
              </w:rPr>
            </w:pPr>
            <w:r w:rsidRPr="0090680E">
              <w:rPr>
                <w:b/>
                <w:bCs/>
                <w:szCs w:val="20"/>
              </w:rPr>
              <w:t>redacted</w:t>
            </w:r>
            <w:r w:rsidR="00367D87" w:rsidRPr="0090680E">
              <w:rPr>
                <w:szCs w:val="20"/>
                <w:vertAlign w:val="superscript"/>
              </w:rPr>
              <w:t>4</w:t>
            </w:r>
          </w:p>
        </w:tc>
        <w:tc>
          <w:tcPr>
            <w:tcW w:w="622" w:type="pct"/>
            <w:vAlign w:val="center"/>
          </w:tcPr>
          <w:p w14:paraId="1F07541D" w14:textId="52CBC025" w:rsidR="00367D87" w:rsidRPr="00B03153" w:rsidRDefault="0090680E" w:rsidP="0090680E">
            <w:pPr>
              <w:pStyle w:val="TableText"/>
              <w:jc w:val="center"/>
              <w:rPr>
                <w:b/>
                <w:szCs w:val="20"/>
                <w:u w:val="single"/>
              </w:rPr>
            </w:pPr>
            <w:r w:rsidRPr="0090680E">
              <w:rPr>
                <w:b/>
                <w:bCs/>
                <w:szCs w:val="20"/>
              </w:rPr>
              <w:t>redacted</w:t>
            </w:r>
            <w:r w:rsidR="00367D87" w:rsidRPr="0090680E">
              <w:rPr>
                <w:szCs w:val="20"/>
                <w:vertAlign w:val="superscript"/>
              </w:rPr>
              <w:t>5</w:t>
            </w:r>
          </w:p>
        </w:tc>
      </w:tr>
    </w:tbl>
    <w:p w14:paraId="69299F9C" w14:textId="21C92CF2" w:rsidR="007575A9" w:rsidRPr="004D70F4" w:rsidRDefault="007575A9" w:rsidP="007575A9">
      <w:pPr>
        <w:pStyle w:val="FooterTableFigure"/>
      </w:pPr>
      <w:r w:rsidRPr="004D70F4">
        <w:t>Source: Table 4.17,</w:t>
      </w:r>
      <w:r w:rsidR="007D1680">
        <w:t xml:space="preserve"> </w:t>
      </w:r>
      <w:r w:rsidRPr="004D70F4">
        <w:t>p169 of the submission and the attached financial model, corrected</w:t>
      </w:r>
      <w:r w:rsidR="00B331A1">
        <w:t xml:space="preserve"> during evaluation</w:t>
      </w:r>
      <w:r w:rsidR="00C702B9">
        <w:t>.</w:t>
      </w:r>
      <w:r w:rsidRPr="004D70F4">
        <w:t xml:space="preserve"> </w:t>
      </w:r>
    </w:p>
    <w:p w14:paraId="7CDD0AB2" w14:textId="72CA8F9C" w:rsidR="007575A9" w:rsidRDefault="00130E82" w:rsidP="007575A9">
      <w:pPr>
        <w:pStyle w:val="FooterTableFigure"/>
      </w:pPr>
      <w:r>
        <w:t>Data</w:t>
      </w:r>
      <w:r w:rsidR="007575A9" w:rsidRPr="004D70F4">
        <w:t xml:space="preserve"> in </w:t>
      </w:r>
      <w:r w:rsidR="007575A9" w:rsidRPr="00B7491D">
        <w:rPr>
          <w:i/>
          <w:iCs/>
        </w:rPr>
        <w:t>italics</w:t>
      </w:r>
      <w:r w:rsidR="007575A9" w:rsidRPr="004D70F4">
        <w:t xml:space="preserve"> indicate</w:t>
      </w:r>
      <w:r w:rsidR="00B0198C">
        <w:t>d</w:t>
      </w:r>
      <w:r w:rsidR="007575A9" w:rsidRPr="004D70F4">
        <w:t xml:space="preserve"> </w:t>
      </w:r>
      <w:r w:rsidR="005D3207">
        <w:t xml:space="preserve">the Assessment Group’s calculated </w:t>
      </w:r>
      <w:r w:rsidR="007575A9" w:rsidRPr="004D70F4">
        <w:t xml:space="preserve">values during </w:t>
      </w:r>
      <w:r w:rsidR="005D3207">
        <w:t>its</w:t>
      </w:r>
      <w:r w:rsidR="007575A9" w:rsidRPr="004D70F4">
        <w:t xml:space="preserve"> evaluation</w:t>
      </w:r>
      <w:r w:rsidR="005D3207">
        <w:t xml:space="preserve"> of the </w:t>
      </w:r>
      <w:r w:rsidR="00B0198C">
        <w:t>submission which</w:t>
      </w:r>
      <w:r w:rsidR="007575A9" w:rsidRPr="004D70F4">
        <w:t xml:space="preserve"> erroneously assumed no usage in HR + </w:t>
      </w:r>
      <w:r w:rsidR="007575A9" w:rsidRPr="0066027B">
        <w:rPr>
          <w:i/>
          <w:iCs/>
        </w:rPr>
        <w:t>de novo</w:t>
      </w:r>
      <w:r w:rsidR="007575A9" w:rsidRPr="004D70F4">
        <w:t xml:space="preserve"> mBC</w:t>
      </w:r>
      <w:r w:rsidR="00B0198C">
        <w:t>.</w:t>
      </w:r>
    </w:p>
    <w:p w14:paraId="4F7914D3" w14:textId="3B4E099B" w:rsidR="00B667FB" w:rsidRPr="005600A9" w:rsidRDefault="00B0198C" w:rsidP="007575A9">
      <w:pPr>
        <w:pStyle w:val="FooterTableFigure"/>
      </w:pPr>
      <w:r>
        <w:t>Data</w:t>
      </w:r>
      <w:r w:rsidR="00B667FB" w:rsidRPr="004D70F4">
        <w:t xml:space="preserve"> in</w:t>
      </w:r>
      <w:r w:rsidR="00B667FB" w:rsidRPr="0047760D">
        <w:t xml:space="preserve"> </w:t>
      </w:r>
      <w:r w:rsidR="00B667FB" w:rsidRPr="0047760D">
        <w:rPr>
          <w:i/>
        </w:rPr>
        <w:t>italics</w:t>
      </w:r>
      <w:r w:rsidR="00B667FB">
        <w:rPr>
          <w:i/>
          <w:iCs/>
          <w:u w:val="single"/>
        </w:rPr>
        <w:t xml:space="preserve"> </w:t>
      </w:r>
      <w:r w:rsidR="00B667FB" w:rsidRPr="002F2CD1">
        <w:t>an</w:t>
      </w:r>
      <w:r w:rsidR="005600A9" w:rsidRPr="002F2CD1">
        <w:t xml:space="preserve">d </w:t>
      </w:r>
      <w:r w:rsidR="00B667FB" w:rsidRPr="0047760D">
        <w:rPr>
          <w:u w:val="single"/>
        </w:rPr>
        <w:t>underline</w:t>
      </w:r>
      <w:r w:rsidRPr="0047760D">
        <w:rPr>
          <w:u w:val="single"/>
        </w:rPr>
        <w:t>d</w:t>
      </w:r>
      <w:r w:rsidR="00B667FB" w:rsidRPr="002F2CD1">
        <w:t xml:space="preserve"> </w:t>
      </w:r>
      <w:r w:rsidR="005600A9">
        <w:t xml:space="preserve">indicated </w:t>
      </w:r>
      <w:r w:rsidR="000F768D">
        <w:t>the department’s calculate</w:t>
      </w:r>
      <w:r w:rsidR="00303970">
        <w:t xml:space="preserve">d </w:t>
      </w:r>
      <w:r w:rsidR="005600A9">
        <w:t xml:space="preserve">values </w:t>
      </w:r>
      <w:r w:rsidR="003412F2">
        <w:t>pre-MSAC</w:t>
      </w:r>
      <w:r w:rsidR="005600A9">
        <w:t xml:space="preserve"> </w:t>
      </w:r>
      <w:r w:rsidR="00303970">
        <w:t>incorporating the cost of cascade testing/</w:t>
      </w:r>
    </w:p>
    <w:p w14:paraId="46F04580" w14:textId="75E00695" w:rsidR="007575A9" w:rsidRPr="004D70F4" w:rsidRDefault="00450413" w:rsidP="007575A9">
      <w:pPr>
        <w:pStyle w:val="FooterTableFigure"/>
      </w:pPr>
      <w:r>
        <w:t xml:space="preserve">GPG = Greatest Permissible Gap; </w:t>
      </w:r>
      <w:r w:rsidR="007575A9" w:rsidRPr="004D70F4">
        <w:t>PBS = Pharmaceutical Benefits Scheme; RPBS = Repatriation Pharmaceutical Benefits Scheme</w:t>
      </w:r>
    </w:p>
    <w:p w14:paraId="0AA71C7D" w14:textId="70656BDB" w:rsidR="007575A9" w:rsidRDefault="007575A9" w:rsidP="0066027B">
      <w:pPr>
        <w:pStyle w:val="FooterTableFigure"/>
        <w:tabs>
          <w:tab w:val="left" w:pos="284"/>
        </w:tabs>
      </w:pPr>
      <w:r w:rsidRPr="004D70F4">
        <w:rPr>
          <w:vertAlign w:val="superscript"/>
        </w:rPr>
        <w:t xml:space="preserve">a </w:t>
      </w:r>
      <w:r w:rsidR="00D02146">
        <w:tab/>
      </w:r>
      <w:r w:rsidR="000D4E49">
        <w:t>A</w:t>
      </w:r>
      <w:r w:rsidRPr="004D70F4">
        <w:t>ssume</w:t>
      </w:r>
      <w:r w:rsidR="000D4E49">
        <w:t>d</w:t>
      </w:r>
      <w:r w:rsidRPr="004D70F4">
        <w:t xml:space="preserve"> </w:t>
      </w:r>
      <w:r w:rsidRPr="0090680E">
        <w:t>13.3</w:t>
      </w:r>
      <w:r w:rsidRPr="004D70F4">
        <w:t xml:space="preserve"> scripts per patient per year</w:t>
      </w:r>
      <w:r w:rsidR="000D4E49">
        <w:t>.</w:t>
      </w:r>
    </w:p>
    <w:p w14:paraId="3D3142BE" w14:textId="6D971ADD" w:rsidR="0075792D" w:rsidRDefault="007E265E" w:rsidP="0075792D">
      <w:pPr>
        <w:pStyle w:val="FooterTableFigure"/>
        <w:tabs>
          <w:tab w:val="left" w:pos="284"/>
        </w:tabs>
      </w:pPr>
      <w:r>
        <w:rPr>
          <w:vertAlign w:val="superscript"/>
        </w:rPr>
        <w:t>b</w:t>
      </w:r>
      <w:r w:rsidR="00D02146">
        <w:tab/>
      </w:r>
      <w:r w:rsidR="007575A9">
        <w:t xml:space="preserve">reported as </w:t>
      </w:r>
      <w:r w:rsidR="0090680E" w:rsidRPr="0090680E">
        <w:rPr>
          <w:b/>
          <w:bCs/>
          <w:szCs w:val="20"/>
        </w:rPr>
        <w:t>redacted</w:t>
      </w:r>
      <w:r w:rsidR="00B03153" w:rsidRPr="0090680E">
        <w:rPr>
          <w:i/>
          <w:iCs/>
          <w:szCs w:val="20"/>
        </w:rPr>
        <w:t xml:space="preserve"> </w:t>
      </w:r>
      <w:r w:rsidR="007575A9">
        <w:t xml:space="preserve">in Table 4.27 of submission, but could not be duplicated and an error was identified during the evaluation. </w:t>
      </w:r>
    </w:p>
    <w:p w14:paraId="533DF97F" w14:textId="526DDA92" w:rsidR="00331D69" w:rsidRDefault="00B537F3" w:rsidP="002F2CD1">
      <w:pPr>
        <w:pStyle w:val="FooterTableFigure"/>
        <w:tabs>
          <w:tab w:val="left" w:pos="284"/>
        </w:tabs>
        <w:rPr>
          <w:szCs w:val="18"/>
        </w:rPr>
      </w:pPr>
      <w:r w:rsidRPr="0047760D">
        <w:rPr>
          <w:szCs w:val="18"/>
          <w:vertAlign w:val="superscript"/>
        </w:rPr>
        <w:t>c</w:t>
      </w:r>
      <w:r>
        <w:rPr>
          <w:szCs w:val="18"/>
        </w:rPr>
        <w:t xml:space="preserve"> </w:t>
      </w:r>
      <w:r w:rsidR="00331D69">
        <w:rPr>
          <w:szCs w:val="18"/>
        </w:rPr>
        <w:t xml:space="preserve">Number of first degree relatives based on MSAC </w:t>
      </w:r>
      <w:hyperlink r:id="rId26" w:history="1">
        <w:r w:rsidR="00331D69">
          <w:rPr>
            <w:rStyle w:val="Hyperlink"/>
            <w:szCs w:val="18"/>
          </w:rPr>
          <w:t xml:space="preserve">1716 </w:t>
        </w:r>
      </w:hyperlink>
      <w:r w:rsidR="00331D69">
        <w:rPr>
          <w:szCs w:val="18"/>
        </w:rPr>
        <w:t xml:space="preserve">- Application for early breast cancer (eBC) </w:t>
      </w:r>
      <w:r w:rsidR="00331D69">
        <w:rPr>
          <w:i/>
          <w:iCs/>
          <w:szCs w:val="18"/>
        </w:rPr>
        <w:t>gBRCA</w:t>
      </w:r>
      <w:r w:rsidR="00331D69">
        <w:rPr>
          <w:szCs w:val="18"/>
        </w:rPr>
        <w:t xml:space="preserve"> testing considered by MSAC in Nov 2023</w:t>
      </w:r>
    </w:p>
    <w:p w14:paraId="511F9D19" w14:textId="77777777" w:rsidR="00535ACD" w:rsidRDefault="002B5D90" w:rsidP="0090680E">
      <w:pPr>
        <w:pStyle w:val="FooterTableFigure"/>
        <w:tabs>
          <w:tab w:val="left" w:pos="284"/>
        </w:tabs>
        <w:spacing w:after="0"/>
        <w:contextualSpacing w:val="0"/>
        <w:rPr>
          <w:rFonts w:eastAsia="Calibri" w:cs="Calibri"/>
          <w:szCs w:val="18"/>
          <w14:ligatures w14:val="standardContextual"/>
        </w:rPr>
      </w:pPr>
      <w:r>
        <w:rPr>
          <w:vertAlign w:val="superscript"/>
        </w:rPr>
        <w:t>d</w:t>
      </w:r>
      <w:r>
        <w:rPr>
          <w:vertAlign w:val="superscript"/>
        </w:rPr>
        <w:tab/>
      </w:r>
      <w:r w:rsidRPr="0075792D">
        <w:rPr>
          <w:rFonts w:eastAsia="Calibri" w:cs="Calibri"/>
          <w:szCs w:val="18"/>
          <w14:ligatures w14:val="standardContextual"/>
        </w:rPr>
        <w:t xml:space="preserve">Source: </w:t>
      </w:r>
      <w:hyperlink r:id="rId27" w:history="1">
        <w:r w:rsidRPr="0075792D">
          <w:rPr>
            <w:rFonts w:eastAsia="Calibri" w:cs="Calibri"/>
            <w:color w:val="0563C1"/>
            <w:szCs w:val="18"/>
            <w:u w:val="single"/>
            <w14:ligatures w14:val="standardContextual"/>
          </w:rPr>
          <w:t>MBS online</w:t>
        </w:r>
      </w:hyperlink>
      <w:r w:rsidRPr="0075792D">
        <w:rPr>
          <w:rFonts w:eastAsia="Calibri" w:cs="Calibri"/>
          <w:szCs w:val="18"/>
          <w14:ligatures w14:val="standardContextual"/>
        </w:rPr>
        <w:t xml:space="preserve"> (accessed 26 July 2024).</w:t>
      </w:r>
    </w:p>
    <w:p w14:paraId="1CEBDA8E" w14:textId="58EE7ECE" w:rsidR="00535ACD" w:rsidRPr="0090680E" w:rsidRDefault="00535ACD" w:rsidP="0090680E">
      <w:pPr>
        <w:pStyle w:val="FooterTableFigure"/>
        <w:tabs>
          <w:tab w:val="left" w:pos="284"/>
        </w:tabs>
        <w:spacing w:after="0"/>
        <w:contextualSpacing w:val="0"/>
        <w:rPr>
          <w:rFonts w:eastAsia="Calibri" w:cs="Calibri"/>
          <w:szCs w:val="18"/>
          <w14:ligatures w14:val="standardContextual"/>
        </w:rPr>
      </w:pPr>
      <w:r w:rsidRPr="003B3240">
        <w:rPr>
          <w:i/>
          <w:iCs/>
        </w:rPr>
        <w:t xml:space="preserve">The </w:t>
      </w:r>
      <w:r w:rsidR="0090680E" w:rsidRPr="0090680E">
        <w:rPr>
          <w:b/>
          <w:bCs/>
          <w:i/>
          <w:iCs/>
        </w:rPr>
        <w:t>redacted</w:t>
      </w:r>
      <w:r w:rsidRPr="003B3240">
        <w:rPr>
          <w:i/>
          <w:iCs/>
        </w:rPr>
        <w:t xml:space="preserve"> values correspond to the following ranges</w:t>
      </w:r>
    </w:p>
    <w:p w14:paraId="1F2C4AE3" w14:textId="77777777" w:rsidR="00535ACD" w:rsidRPr="00BE0028" w:rsidRDefault="00535ACD" w:rsidP="0090680E">
      <w:pPr>
        <w:pStyle w:val="FooterTableFigure"/>
        <w:keepNext/>
        <w:keepLines/>
        <w:spacing w:after="0"/>
        <w:rPr>
          <w:i/>
          <w:iCs/>
        </w:rPr>
      </w:pPr>
      <w:r w:rsidRPr="003B3240">
        <w:rPr>
          <w:i/>
          <w:iCs/>
          <w:vertAlign w:val="superscript"/>
        </w:rPr>
        <w:t>1</w:t>
      </w:r>
      <w:r w:rsidRPr="003B3240">
        <w:rPr>
          <w:i/>
          <w:iCs/>
        </w:rPr>
        <w:t>&lt; 500</w:t>
      </w:r>
      <w:r w:rsidRPr="00BE0028">
        <w:rPr>
          <w:i/>
          <w:iCs/>
        </w:rPr>
        <w:t xml:space="preserve"> </w:t>
      </w:r>
    </w:p>
    <w:p w14:paraId="01419D04" w14:textId="77777777" w:rsidR="00535ACD" w:rsidRDefault="00535ACD" w:rsidP="00535ACD">
      <w:pPr>
        <w:pStyle w:val="FooterTableFigure"/>
        <w:keepNext/>
        <w:keepLines/>
        <w:spacing w:after="0"/>
        <w:rPr>
          <w:i/>
          <w:iCs/>
        </w:rPr>
      </w:pPr>
      <w:r w:rsidRPr="003B3240">
        <w:rPr>
          <w:i/>
          <w:iCs/>
          <w:vertAlign w:val="superscript"/>
        </w:rPr>
        <w:t xml:space="preserve">2 </w:t>
      </w:r>
      <w:r w:rsidRPr="003B3240">
        <w:rPr>
          <w:i/>
          <w:iCs/>
        </w:rPr>
        <w:t xml:space="preserve">500 to &lt; 5,000 </w:t>
      </w:r>
    </w:p>
    <w:p w14:paraId="12660630" w14:textId="69173E49" w:rsidR="003D1100" w:rsidRDefault="00187D49" w:rsidP="003D1100">
      <w:pPr>
        <w:pStyle w:val="FooterTableFigure"/>
        <w:tabs>
          <w:tab w:val="left" w:pos="284"/>
        </w:tabs>
        <w:spacing w:after="0"/>
        <w:contextualSpacing w:val="0"/>
        <w:rPr>
          <w:rFonts w:eastAsia="Calibri" w:cs="Calibri"/>
          <w:i/>
          <w:iCs/>
          <w:szCs w:val="18"/>
          <w14:ligatures w14:val="standardContextual"/>
        </w:rPr>
      </w:pPr>
      <w:r w:rsidRPr="0090680E">
        <w:rPr>
          <w:rFonts w:eastAsia="Calibri" w:cs="Calibri"/>
          <w:i/>
          <w:iCs/>
          <w:szCs w:val="18"/>
          <w:vertAlign w:val="superscript"/>
          <w14:ligatures w14:val="standardContextual"/>
        </w:rPr>
        <w:t xml:space="preserve">3 </w:t>
      </w:r>
      <w:r w:rsidR="00A76D1D" w:rsidRPr="00A76D1D">
        <w:rPr>
          <w:rFonts w:eastAsia="Calibri" w:cs="Calibri"/>
          <w:i/>
          <w:iCs/>
          <w:szCs w:val="18"/>
          <w14:ligatures w14:val="standardContextual"/>
        </w:rPr>
        <w:t>$0 to &lt; $10 million</w:t>
      </w:r>
    </w:p>
    <w:p w14:paraId="7CCB46AB" w14:textId="77777777" w:rsidR="00367D87" w:rsidRDefault="00187D49" w:rsidP="003D1100">
      <w:pPr>
        <w:pStyle w:val="FooterTableFigure"/>
        <w:tabs>
          <w:tab w:val="left" w:pos="284"/>
        </w:tabs>
        <w:spacing w:after="0"/>
        <w:contextualSpacing w:val="0"/>
        <w:rPr>
          <w:rFonts w:eastAsia="Calibri" w:cs="Calibri"/>
          <w:i/>
          <w:iCs/>
          <w:szCs w:val="18"/>
          <w14:ligatures w14:val="standardContextual"/>
        </w:rPr>
      </w:pPr>
      <w:r w:rsidRPr="0090680E">
        <w:rPr>
          <w:rFonts w:eastAsia="Calibri" w:cs="Calibri"/>
          <w:i/>
          <w:iCs/>
          <w:szCs w:val="18"/>
          <w:vertAlign w:val="superscript"/>
          <w14:ligatures w14:val="standardContextual"/>
        </w:rPr>
        <w:t>4</w:t>
      </w:r>
      <w:r w:rsidRPr="00187D49">
        <w:rPr>
          <w:rFonts w:eastAsia="Calibri" w:cs="Calibri"/>
          <w:i/>
          <w:iCs/>
          <w:szCs w:val="18"/>
          <w14:ligatures w14:val="standardContextual"/>
        </w:rPr>
        <w:t> $10 million to &lt; $20 million</w:t>
      </w:r>
    </w:p>
    <w:p w14:paraId="4D66CF51" w14:textId="5A3156C6" w:rsidR="003D1100" w:rsidRPr="0090680E" w:rsidRDefault="00367D87" w:rsidP="00AA25B2">
      <w:pPr>
        <w:pStyle w:val="FooterTableFigure"/>
        <w:tabs>
          <w:tab w:val="left" w:pos="284"/>
        </w:tabs>
        <w:spacing w:after="240"/>
        <w:contextualSpacing w:val="0"/>
        <w:rPr>
          <w:rFonts w:eastAsia="Calibri" w:cs="Calibri"/>
          <w:i/>
          <w:iCs/>
          <w:szCs w:val="18"/>
          <w14:ligatures w14:val="standardContextual"/>
        </w:rPr>
      </w:pPr>
      <w:r w:rsidRPr="0090680E">
        <w:rPr>
          <w:rFonts w:eastAsia="Calibri" w:cs="Calibri"/>
          <w:i/>
          <w:iCs/>
          <w:szCs w:val="18"/>
          <w:vertAlign w:val="superscript"/>
          <w14:ligatures w14:val="standardContextual"/>
        </w:rPr>
        <w:t>5</w:t>
      </w:r>
      <w:r w:rsidR="00187D49" w:rsidRPr="00187D49">
        <w:rPr>
          <w:rFonts w:eastAsia="Calibri" w:cs="Calibri"/>
          <w:i/>
          <w:iCs/>
          <w:szCs w:val="18"/>
          <w14:ligatures w14:val="standardContextual"/>
        </w:rPr>
        <w:t xml:space="preserve"> $20 million to &lt; $30 million</w:t>
      </w:r>
      <w:r w:rsidR="00AA25B2">
        <w:rPr>
          <w:rFonts w:eastAsia="Calibri" w:cs="Calibri"/>
          <w:i/>
          <w:iCs/>
          <w:szCs w:val="18"/>
          <w14:ligatures w14:val="standardContextual"/>
        </w:rPr>
        <w:t>.</w:t>
      </w:r>
    </w:p>
    <w:p w14:paraId="363E1D49" w14:textId="5FA788BE" w:rsidR="007575A9" w:rsidRPr="007575A9" w:rsidRDefault="00C811C0" w:rsidP="007575A9">
      <w:r w:rsidRPr="005F7558">
        <w:fldChar w:fldCharType="begin"/>
      </w:r>
      <w:r w:rsidRPr="005F7558">
        <w:instrText xml:space="preserve"> REF _Ref167111301 \h </w:instrText>
      </w:r>
      <w:r w:rsidR="005F7558" w:rsidRPr="005F7558">
        <w:instrText xml:space="preserve"> \* MERGEFORMAT </w:instrText>
      </w:r>
      <w:r w:rsidRPr="005F7558">
        <w:fldChar w:fldCharType="separate"/>
      </w:r>
      <w:r w:rsidR="00325DE1" w:rsidRPr="009C68D4">
        <w:t>Table 19</w:t>
      </w:r>
      <w:r w:rsidRPr="005F7558">
        <w:fldChar w:fldCharType="end"/>
      </w:r>
      <w:r w:rsidR="005F7558" w:rsidRPr="005F7558">
        <w:t xml:space="preserve"> </w:t>
      </w:r>
      <w:r w:rsidR="007575A9" w:rsidRPr="007575A9">
        <w:t xml:space="preserve">presents the estimated use and financial implications for the </w:t>
      </w:r>
      <w:r w:rsidR="007575A9" w:rsidRPr="0066027B">
        <w:rPr>
          <w:i/>
          <w:iCs/>
        </w:rPr>
        <w:t>de novo</w:t>
      </w:r>
      <w:r w:rsidR="007575A9" w:rsidRPr="007575A9">
        <w:t xml:space="preserve"> portion of the population only. </w:t>
      </w:r>
    </w:p>
    <w:p w14:paraId="3D692926" w14:textId="26DFABC5" w:rsidR="007575A9" w:rsidRPr="0066027B" w:rsidRDefault="007575A9" w:rsidP="0066027B">
      <w:pPr>
        <w:pStyle w:val="Caption"/>
        <w:rPr>
          <w:rStyle w:val="CommentReference"/>
          <w:sz w:val="20"/>
          <w:szCs w:val="20"/>
        </w:rPr>
      </w:pPr>
      <w:bookmarkStart w:id="52" w:name="_Ref167111301"/>
      <w:r w:rsidRPr="0066027B">
        <w:rPr>
          <w:rStyle w:val="CommentReference"/>
          <w:sz w:val="20"/>
          <w:szCs w:val="20"/>
        </w:rPr>
        <w:t xml:space="preserve">Table </w:t>
      </w:r>
      <w:r w:rsidRPr="0066027B">
        <w:rPr>
          <w:rStyle w:val="CommentReference"/>
          <w:sz w:val="20"/>
          <w:szCs w:val="20"/>
        </w:rPr>
        <w:fldChar w:fldCharType="begin"/>
      </w:r>
      <w:r w:rsidRPr="0066027B">
        <w:rPr>
          <w:rStyle w:val="CommentReference"/>
          <w:sz w:val="20"/>
          <w:szCs w:val="20"/>
        </w:rPr>
        <w:instrText xml:space="preserve"> SEQ Table \* ARABIC </w:instrText>
      </w:r>
      <w:r w:rsidRPr="0066027B">
        <w:rPr>
          <w:rStyle w:val="CommentReference"/>
          <w:sz w:val="20"/>
          <w:szCs w:val="20"/>
        </w:rPr>
        <w:fldChar w:fldCharType="separate"/>
      </w:r>
      <w:r w:rsidR="00325DE1">
        <w:rPr>
          <w:rStyle w:val="CommentReference"/>
          <w:noProof/>
          <w:sz w:val="20"/>
          <w:szCs w:val="20"/>
        </w:rPr>
        <w:t>19</w:t>
      </w:r>
      <w:r w:rsidRPr="0066027B">
        <w:rPr>
          <w:rStyle w:val="CommentReference"/>
          <w:sz w:val="20"/>
          <w:szCs w:val="20"/>
        </w:rPr>
        <w:fldChar w:fldCharType="end"/>
      </w:r>
      <w:bookmarkEnd w:id="52"/>
      <w:r w:rsidRPr="0066027B">
        <w:rPr>
          <w:rStyle w:val="CommentReference"/>
          <w:sz w:val="20"/>
          <w:szCs w:val="20"/>
        </w:rPr>
        <w:t>:</w:t>
      </w:r>
      <w:r w:rsidRPr="00C811C0">
        <w:rPr>
          <w:rStyle w:val="CommentReference"/>
          <w:sz w:val="20"/>
          <w:szCs w:val="20"/>
        </w:rPr>
        <w:t xml:space="preserve"> Estimated use and financial implications – </w:t>
      </w:r>
      <w:r w:rsidRPr="0066027B">
        <w:rPr>
          <w:rStyle w:val="CommentReference"/>
          <w:i/>
          <w:iCs/>
          <w:sz w:val="20"/>
          <w:szCs w:val="20"/>
        </w:rPr>
        <w:t>de novo</w:t>
      </w:r>
      <w:r w:rsidRPr="00C811C0">
        <w:rPr>
          <w:rStyle w:val="CommentReference"/>
          <w:sz w:val="20"/>
          <w:szCs w:val="20"/>
        </w:rPr>
        <w:t xml:space="preserve"> patients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600" w:firstRow="0" w:lastRow="0" w:firstColumn="0" w:lastColumn="0" w:noHBand="1" w:noVBand="1"/>
      </w:tblPr>
      <w:tblGrid>
        <w:gridCol w:w="1278"/>
        <w:gridCol w:w="1290"/>
        <w:gridCol w:w="1290"/>
        <w:gridCol w:w="1290"/>
        <w:gridCol w:w="1290"/>
        <w:gridCol w:w="1290"/>
        <w:gridCol w:w="1288"/>
      </w:tblGrid>
      <w:tr w:rsidR="005C3703" w:rsidRPr="00026770" w14:paraId="009981A4" w14:textId="77777777" w:rsidTr="000A79A9">
        <w:tc>
          <w:tcPr>
            <w:tcW w:w="597" w:type="pct"/>
            <w:shd w:val="clear" w:color="auto" w:fill="auto"/>
          </w:tcPr>
          <w:p w14:paraId="065C77C4" w14:textId="77777777" w:rsidR="007575A9" w:rsidRDefault="007575A9" w:rsidP="0066027B">
            <w:pPr>
              <w:pStyle w:val="TableText"/>
              <w:keepNext/>
              <w:rPr>
                <w:b/>
                <w:bCs/>
                <w:szCs w:val="20"/>
              </w:rPr>
            </w:pPr>
          </w:p>
        </w:tc>
        <w:tc>
          <w:tcPr>
            <w:tcW w:w="734" w:type="pct"/>
            <w:shd w:val="clear" w:color="auto" w:fill="auto"/>
          </w:tcPr>
          <w:p w14:paraId="246B4F54" w14:textId="77777777" w:rsidR="007575A9" w:rsidRPr="00026770" w:rsidRDefault="007575A9" w:rsidP="0066027B">
            <w:pPr>
              <w:pStyle w:val="TableText"/>
              <w:keepNext/>
              <w:jc w:val="center"/>
              <w:rPr>
                <w:b/>
                <w:bCs/>
                <w:szCs w:val="20"/>
              </w:rPr>
            </w:pPr>
            <w:r>
              <w:rPr>
                <w:b/>
                <w:szCs w:val="20"/>
              </w:rPr>
              <w:t>Year 1</w:t>
            </w:r>
          </w:p>
        </w:tc>
        <w:tc>
          <w:tcPr>
            <w:tcW w:w="734" w:type="pct"/>
            <w:shd w:val="clear" w:color="auto" w:fill="auto"/>
          </w:tcPr>
          <w:p w14:paraId="43CF1B0A" w14:textId="77777777" w:rsidR="007575A9" w:rsidRPr="00026770" w:rsidRDefault="007575A9" w:rsidP="0066027B">
            <w:pPr>
              <w:pStyle w:val="TableText"/>
              <w:keepNext/>
              <w:jc w:val="center"/>
              <w:rPr>
                <w:b/>
                <w:bCs/>
                <w:szCs w:val="20"/>
              </w:rPr>
            </w:pPr>
            <w:r>
              <w:rPr>
                <w:b/>
                <w:szCs w:val="20"/>
              </w:rPr>
              <w:t>Year 2</w:t>
            </w:r>
          </w:p>
        </w:tc>
        <w:tc>
          <w:tcPr>
            <w:tcW w:w="734" w:type="pct"/>
            <w:shd w:val="clear" w:color="auto" w:fill="auto"/>
          </w:tcPr>
          <w:p w14:paraId="7B4D1A15" w14:textId="77777777" w:rsidR="007575A9" w:rsidRPr="00026770" w:rsidRDefault="007575A9" w:rsidP="0066027B">
            <w:pPr>
              <w:pStyle w:val="TableText"/>
              <w:keepNext/>
              <w:jc w:val="center"/>
              <w:rPr>
                <w:b/>
                <w:bCs/>
                <w:szCs w:val="20"/>
              </w:rPr>
            </w:pPr>
            <w:r>
              <w:rPr>
                <w:b/>
                <w:szCs w:val="20"/>
              </w:rPr>
              <w:t>Year 3</w:t>
            </w:r>
          </w:p>
        </w:tc>
        <w:tc>
          <w:tcPr>
            <w:tcW w:w="734" w:type="pct"/>
            <w:shd w:val="clear" w:color="auto" w:fill="auto"/>
          </w:tcPr>
          <w:p w14:paraId="57EE9475" w14:textId="77777777" w:rsidR="007575A9" w:rsidRPr="00026770" w:rsidRDefault="007575A9" w:rsidP="0066027B">
            <w:pPr>
              <w:pStyle w:val="TableText"/>
              <w:keepNext/>
              <w:jc w:val="center"/>
              <w:rPr>
                <w:b/>
                <w:bCs/>
                <w:szCs w:val="20"/>
              </w:rPr>
            </w:pPr>
            <w:r>
              <w:rPr>
                <w:b/>
                <w:szCs w:val="20"/>
              </w:rPr>
              <w:t>Year 4</w:t>
            </w:r>
          </w:p>
        </w:tc>
        <w:tc>
          <w:tcPr>
            <w:tcW w:w="734" w:type="pct"/>
            <w:shd w:val="clear" w:color="auto" w:fill="auto"/>
          </w:tcPr>
          <w:p w14:paraId="76C23DDE" w14:textId="77777777" w:rsidR="007575A9" w:rsidRPr="00026770" w:rsidRDefault="007575A9" w:rsidP="0066027B">
            <w:pPr>
              <w:pStyle w:val="TableText"/>
              <w:keepNext/>
              <w:jc w:val="center"/>
              <w:rPr>
                <w:b/>
                <w:bCs/>
                <w:szCs w:val="20"/>
              </w:rPr>
            </w:pPr>
            <w:r>
              <w:rPr>
                <w:b/>
                <w:szCs w:val="20"/>
              </w:rPr>
              <w:t>Year 5</w:t>
            </w:r>
          </w:p>
        </w:tc>
        <w:tc>
          <w:tcPr>
            <w:tcW w:w="734" w:type="pct"/>
          </w:tcPr>
          <w:p w14:paraId="14CC6709" w14:textId="77777777" w:rsidR="007575A9" w:rsidRPr="00026770" w:rsidRDefault="007575A9" w:rsidP="0066027B">
            <w:pPr>
              <w:pStyle w:val="TableText"/>
              <w:keepNext/>
              <w:jc w:val="center"/>
              <w:rPr>
                <w:b/>
                <w:bCs/>
                <w:szCs w:val="20"/>
              </w:rPr>
            </w:pPr>
            <w:r>
              <w:rPr>
                <w:b/>
                <w:szCs w:val="20"/>
              </w:rPr>
              <w:t>Year 6</w:t>
            </w:r>
          </w:p>
        </w:tc>
      </w:tr>
      <w:tr w:rsidR="000A79A9" w:rsidRPr="00026770" w14:paraId="5464E269" w14:textId="77777777" w:rsidTr="0090680E">
        <w:tc>
          <w:tcPr>
            <w:tcW w:w="597" w:type="pct"/>
            <w:shd w:val="clear" w:color="auto" w:fill="auto"/>
          </w:tcPr>
          <w:p w14:paraId="26BFA675" w14:textId="77777777" w:rsidR="000A79A9" w:rsidRPr="00D02146" w:rsidRDefault="000A79A9" w:rsidP="000A79A9">
            <w:pPr>
              <w:pStyle w:val="TableText"/>
              <w:keepNext/>
              <w:rPr>
                <w:szCs w:val="20"/>
              </w:rPr>
            </w:pPr>
            <w:r w:rsidRPr="0066027B">
              <w:rPr>
                <w:szCs w:val="20"/>
              </w:rPr>
              <w:t xml:space="preserve">Net cost to PBS/RPBS for olaparib </w:t>
            </w:r>
          </w:p>
        </w:tc>
        <w:tc>
          <w:tcPr>
            <w:tcW w:w="734" w:type="pct"/>
            <w:shd w:val="clear" w:color="auto" w:fill="auto"/>
            <w:vAlign w:val="center"/>
          </w:tcPr>
          <w:p w14:paraId="2161A196" w14:textId="50837BAD" w:rsidR="000A79A9" w:rsidRPr="0066027B" w:rsidRDefault="0090680E" w:rsidP="000A79A9">
            <w:pPr>
              <w:pStyle w:val="TableText"/>
              <w:keepNext/>
              <w:jc w:val="right"/>
              <w:rPr>
                <w:szCs w:val="20"/>
              </w:rPr>
            </w:pPr>
            <w:r w:rsidRPr="0090680E">
              <w:rPr>
                <w:rFonts w:cs="Arial"/>
                <w:b/>
                <w:bCs/>
                <w:color w:val="000000"/>
                <w:szCs w:val="20"/>
              </w:rPr>
              <w:t>redacted</w:t>
            </w:r>
            <w:r w:rsidR="000A79A9" w:rsidRPr="0090680E">
              <w:rPr>
                <w:rFonts w:cs="Arial"/>
                <w:color w:val="000000"/>
                <w:szCs w:val="20"/>
                <w:vertAlign w:val="superscript"/>
              </w:rPr>
              <w:t>1</w:t>
            </w:r>
          </w:p>
        </w:tc>
        <w:tc>
          <w:tcPr>
            <w:tcW w:w="734" w:type="pct"/>
            <w:shd w:val="clear" w:color="auto" w:fill="auto"/>
          </w:tcPr>
          <w:p w14:paraId="3980AB1E" w14:textId="5F2C89B1" w:rsidR="000A79A9" w:rsidRPr="0066027B" w:rsidRDefault="0090680E" w:rsidP="000A79A9">
            <w:pPr>
              <w:pStyle w:val="TableText"/>
              <w:keepNext/>
              <w:jc w:val="right"/>
              <w:rPr>
                <w:szCs w:val="20"/>
              </w:rPr>
            </w:pPr>
            <w:r w:rsidRPr="0090680E">
              <w:rPr>
                <w:rFonts w:cs="Arial"/>
                <w:b/>
                <w:bCs/>
                <w:color w:val="000000"/>
                <w:szCs w:val="20"/>
              </w:rPr>
              <w:t>redacted</w:t>
            </w:r>
            <w:r w:rsidR="000A79A9" w:rsidRPr="000168A5">
              <w:rPr>
                <w:rFonts w:cs="Arial"/>
                <w:color w:val="000000"/>
                <w:szCs w:val="20"/>
                <w:vertAlign w:val="superscript"/>
              </w:rPr>
              <w:t>1</w:t>
            </w:r>
          </w:p>
        </w:tc>
        <w:tc>
          <w:tcPr>
            <w:tcW w:w="734" w:type="pct"/>
            <w:shd w:val="clear" w:color="auto" w:fill="auto"/>
          </w:tcPr>
          <w:p w14:paraId="18317D82" w14:textId="4AAB3014" w:rsidR="000A79A9" w:rsidRPr="0066027B" w:rsidRDefault="0090680E" w:rsidP="000A79A9">
            <w:pPr>
              <w:pStyle w:val="TableText"/>
              <w:keepNext/>
              <w:jc w:val="right"/>
              <w:rPr>
                <w:szCs w:val="20"/>
              </w:rPr>
            </w:pPr>
            <w:r w:rsidRPr="0090680E">
              <w:rPr>
                <w:rFonts w:cs="Arial"/>
                <w:b/>
                <w:bCs/>
                <w:color w:val="000000"/>
                <w:szCs w:val="20"/>
              </w:rPr>
              <w:t>redacted</w:t>
            </w:r>
            <w:r w:rsidR="000A79A9" w:rsidRPr="000168A5">
              <w:rPr>
                <w:rFonts w:cs="Arial"/>
                <w:color w:val="000000"/>
                <w:szCs w:val="20"/>
                <w:vertAlign w:val="superscript"/>
              </w:rPr>
              <w:t>1</w:t>
            </w:r>
          </w:p>
        </w:tc>
        <w:tc>
          <w:tcPr>
            <w:tcW w:w="734" w:type="pct"/>
            <w:shd w:val="clear" w:color="auto" w:fill="auto"/>
          </w:tcPr>
          <w:p w14:paraId="3DA8B560" w14:textId="246054DF" w:rsidR="000A79A9" w:rsidRPr="0066027B" w:rsidRDefault="0090680E" w:rsidP="000A79A9">
            <w:pPr>
              <w:pStyle w:val="TableText"/>
              <w:keepNext/>
              <w:jc w:val="right"/>
              <w:rPr>
                <w:szCs w:val="20"/>
              </w:rPr>
            </w:pPr>
            <w:r w:rsidRPr="0090680E">
              <w:rPr>
                <w:rFonts w:cs="Arial"/>
                <w:b/>
                <w:bCs/>
                <w:color w:val="000000"/>
                <w:szCs w:val="20"/>
              </w:rPr>
              <w:t>redacted</w:t>
            </w:r>
            <w:r w:rsidR="000A79A9" w:rsidRPr="000168A5">
              <w:rPr>
                <w:rFonts w:cs="Arial"/>
                <w:color w:val="000000"/>
                <w:szCs w:val="20"/>
                <w:vertAlign w:val="superscript"/>
              </w:rPr>
              <w:t>1</w:t>
            </w:r>
          </w:p>
        </w:tc>
        <w:tc>
          <w:tcPr>
            <w:tcW w:w="734" w:type="pct"/>
            <w:shd w:val="clear" w:color="auto" w:fill="auto"/>
          </w:tcPr>
          <w:p w14:paraId="0C42F2DA" w14:textId="1EA4AE2E" w:rsidR="000A79A9" w:rsidRPr="0066027B" w:rsidRDefault="0090680E" w:rsidP="000A79A9">
            <w:pPr>
              <w:pStyle w:val="TableText"/>
              <w:keepNext/>
              <w:jc w:val="right"/>
              <w:rPr>
                <w:szCs w:val="20"/>
              </w:rPr>
            </w:pPr>
            <w:r w:rsidRPr="0090680E">
              <w:rPr>
                <w:rFonts w:cs="Arial"/>
                <w:b/>
                <w:bCs/>
                <w:color w:val="000000"/>
                <w:szCs w:val="20"/>
              </w:rPr>
              <w:t>redacted</w:t>
            </w:r>
            <w:r w:rsidR="000A79A9" w:rsidRPr="000168A5">
              <w:rPr>
                <w:rFonts w:cs="Arial"/>
                <w:color w:val="000000"/>
                <w:szCs w:val="20"/>
                <w:vertAlign w:val="superscript"/>
              </w:rPr>
              <w:t>1</w:t>
            </w:r>
          </w:p>
        </w:tc>
        <w:tc>
          <w:tcPr>
            <w:tcW w:w="734" w:type="pct"/>
          </w:tcPr>
          <w:p w14:paraId="7F6B59E7" w14:textId="2EBAD2E9" w:rsidR="000A79A9" w:rsidRPr="0066027B" w:rsidRDefault="0090680E" w:rsidP="000A79A9">
            <w:pPr>
              <w:pStyle w:val="TableText"/>
              <w:keepNext/>
              <w:jc w:val="right"/>
              <w:rPr>
                <w:szCs w:val="20"/>
              </w:rPr>
            </w:pPr>
            <w:r w:rsidRPr="0090680E">
              <w:rPr>
                <w:rFonts w:cs="Arial"/>
                <w:b/>
                <w:bCs/>
                <w:color w:val="000000"/>
                <w:szCs w:val="20"/>
              </w:rPr>
              <w:t>redacted</w:t>
            </w:r>
            <w:r w:rsidR="000A79A9" w:rsidRPr="000168A5">
              <w:rPr>
                <w:rFonts w:cs="Arial"/>
                <w:color w:val="000000"/>
                <w:szCs w:val="20"/>
                <w:vertAlign w:val="superscript"/>
              </w:rPr>
              <w:t>1</w:t>
            </w:r>
          </w:p>
        </w:tc>
      </w:tr>
      <w:tr w:rsidR="000A79A9" w:rsidRPr="00026770" w14:paraId="3C84A601" w14:textId="77777777" w:rsidTr="0090680E">
        <w:tc>
          <w:tcPr>
            <w:tcW w:w="597" w:type="pct"/>
            <w:shd w:val="clear" w:color="auto" w:fill="auto"/>
          </w:tcPr>
          <w:p w14:paraId="3D4EBAC6" w14:textId="77777777" w:rsidR="000A79A9" w:rsidRPr="00D02146" w:rsidRDefault="000A79A9" w:rsidP="000A79A9">
            <w:pPr>
              <w:pStyle w:val="TableText"/>
              <w:keepNext/>
              <w:rPr>
                <w:szCs w:val="20"/>
              </w:rPr>
            </w:pPr>
            <w:r w:rsidRPr="0066027B">
              <w:rPr>
                <w:szCs w:val="20"/>
              </w:rPr>
              <w:t xml:space="preserve">Net cost to MBS for </w:t>
            </w:r>
            <w:r w:rsidRPr="00D02146">
              <w:rPr>
                <w:i/>
                <w:iCs/>
                <w:szCs w:val="20"/>
              </w:rPr>
              <w:t>BRCA</w:t>
            </w:r>
            <w:r w:rsidRPr="0066027B">
              <w:rPr>
                <w:szCs w:val="20"/>
              </w:rPr>
              <w:t xml:space="preserve"> testing</w:t>
            </w:r>
          </w:p>
        </w:tc>
        <w:tc>
          <w:tcPr>
            <w:tcW w:w="734" w:type="pct"/>
            <w:shd w:val="clear" w:color="auto" w:fill="auto"/>
          </w:tcPr>
          <w:p w14:paraId="10601599" w14:textId="5039F0F6" w:rsidR="000A79A9" w:rsidRPr="00D02146" w:rsidRDefault="0090680E" w:rsidP="000A79A9">
            <w:pPr>
              <w:pStyle w:val="TableText"/>
              <w:keepNext/>
              <w:jc w:val="right"/>
              <w:rPr>
                <w:szCs w:val="20"/>
              </w:rPr>
            </w:pPr>
            <w:r w:rsidRPr="0090680E">
              <w:rPr>
                <w:rFonts w:cs="Arial"/>
                <w:b/>
                <w:bCs/>
                <w:color w:val="000000"/>
                <w:szCs w:val="20"/>
              </w:rPr>
              <w:t>redacted</w:t>
            </w:r>
            <w:r w:rsidR="000A79A9" w:rsidRPr="00B12617">
              <w:rPr>
                <w:rFonts w:cs="Arial"/>
                <w:color w:val="000000"/>
                <w:szCs w:val="20"/>
                <w:vertAlign w:val="superscript"/>
              </w:rPr>
              <w:t>1</w:t>
            </w:r>
          </w:p>
        </w:tc>
        <w:tc>
          <w:tcPr>
            <w:tcW w:w="734" w:type="pct"/>
            <w:shd w:val="clear" w:color="auto" w:fill="auto"/>
          </w:tcPr>
          <w:p w14:paraId="512955FD" w14:textId="59DDEFAC" w:rsidR="000A79A9" w:rsidRPr="00D02146" w:rsidRDefault="0090680E" w:rsidP="000A79A9">
            <w:pPr>
              <w:pStyle w:val="TableText"/>
              <w:keepNext/>
              <w:jc w:val="right"/>
              <w:rPr>
                <w:szCs w:val="20"/>
              </w:rPr>
            </w:pPr>
            <w:r w:rsidRPr="0090680E">
              <w:rPr>
                <w:rFonts w:cs="Arial"/>
                <w:b/>
                <w:bCs/>
                <w:color w:val="000000"/>
                <w:szCs w:val="20"/>
              </w:rPr>
              <w:t>redacted</w:t>
            </w:r>
            <w:r w:rsidR="000A79A9" w:rsidRPr="00B12617">
              <w:rPr>
                <w:rFonts w:cs="Arial"/>
                <w:color w:val="000000"/>
                <w:szCs w:val="20"/>
                <w:vertAlign w:val="superscript"/>
              </w:rPr>
              <w:t>1</w:t>
            </w:r>
          </w:p>
        </w:tc>
        <w:tc>
          <w:tcPr>
            <w:tcW w:w="734" w:type="pct"/>
            <w:shd w:val="clear" w:color="auto" w:fill="auto"/>
          </w:tcPr>
          <w:p w14:paraId="39D4A8B9" w14:textId="32407F50" w:rsidR="000A79A9" w:rsidRPr="00D02146" w:rsidRDefault="0090680E" w:rsidP="000A79A9">
            <w:pPr>
              <w:pStyle w:val="TableText"/>
              <w:keepNext/>
              <w:jc w:val="right"/>
              <w:rPr>
                <w:szCs w:val="20"/>
              </w:rPr>
            </w:pPr>
            <w:r w:rsidRPr="0090680E">
              <w:rPr>
                <w:rFonts w:cs="Arial"/>
                <w:b/>
                <w:bCs/>
                <w:color w:val="000000"/>
                <w:szCs w:val="20"/>
              </w:rPr>
              <w:t>redacted</w:t>
            </w:r>
            <w:r w:rsidR="000A79A9" w:rsidRPr="00B12617">
              <w:rPr>
                <w:rFonts w:cs="Arial"/>
                <w:color w:val="000000"/>
                <w:szCs w:val="20"/>
                <w:vertAlign w:val="superscript"/>
              </w:rPr>
              <w:t>1</w:t>
            </w:r>
          </w:p>
        </w:tc>
        <w:tc>
          <w:tcPr>
            <w:tcW w:w="734" w:type="pct"/>
            <w:shd w:val="clear" w:color="auto" w:fill="auto"/>
            <w:vAlign w:val="center"/>
          </w:tcPr>
          <w:p w14:paraId="2E598492" w14:textId="6F60F421" w:rsidR="000A79A9" w:rsidRPr="00D02146" w:rsidRDefault="000A79A9" w:rsidP="000A79A9">
            <w:pPr>
              <w:pStyle w:val="TableText"/>
              <w:keepNext/>
              <w:jc w:val="right"/>
              <w:rPr>
                <w:szCs w:val="20"/>
              </w:rPr>
            </w:pPr>
            <w:r>
              <w:rPr>
                <w:rFonts w:cs="Arial"/>
                <w:color w:val="000000"/>
                <w:szCs w:val="20"/>
              </w:rPr>
              <w:t xml:space="preserve"> </w:t>
            </w:r>
            <w:r w:rsidR="0090680E" w:rsidRPr="0090680E">
              <w:rPr>
                <w:rFonts w:cs="Arial"/>
                <w:b/>
                <w:bCs/>
                <w:color w:val="000000"/>
                <w:szCs w:val="20"/>
              </w:rPr>
              <w:t>redacted</w:t>
            </w:r>
            <w:r w:rsidR="00D947F3">
              <w:rPr>
                <w:rFonts w:cs="Arial"/>
                <w:color w:val="000000"/>
                <w:szCs w:val="20"/>
                <w:vertAlign w:val="superscript"/>
              </w:rPr>
              <w:t>1</w:t>
            </w:r>
          </w:p>
        </w:tc>
        <w:tc>
          <w:tcPr>
            <w:tcW w:w="734" w:type="pct"/>
            <w:shd w:val="clear" w:color="auto" w:fill="auto"/>
          </w:tcPr>
          <w:p w14:paraId="3B3F93D4" w14:textId="2CA374BE" w:rsidR="000A79A9" w:rsidRPr="00D02146" w:rsidRDefault="0090680E" w:rsidP="000A79A9">
            <w:pPr>
              <w:pStyle w:val="TableText"/>
              <w:keepNext/>
              <w:jc w:val="right"/>
              <w:rPr>
                <w:szCs w:val="20"/>
              </w:rPr>
            </w:pPr>
            <w:r w:rsidRPr="0090680E">
              <w:rPr>
                <w:rFonts w:cs="Arial"/>
                <w:b/>
                <w:bCs/>
                <w:color w:val="000000"/>
                <w:szCs w:val="20"/>
              </w:rPr>
              <w:t>redacted</w:t>
            </w:r>
            <w:r w:rsidR="00D947F3">
              <w:rPr>
                <w:rFonts w:cs="Arial"/>
                <w:color w:val="000000"/>
                <w:szCs w:val="20"/>
                <w:vertAlign w:val="superscript"/>
              </w:rPr>
              <w:t>1</w:t>
            </w:r>
          </w:p>
        </w:tc>
        <w:tc>
          <w:tcPr>
            <w:tcW w:w="734" w:type="pct"/>
          </w:tcPr>
          <w:p w14:paraId="11170E1A" w14:textId="5B54C7A3" w:rsidR="000A79A9" w:rsidRPr="00D02146" w:rsidRDefault="0090680E" w:rsidP="000A79A9">
            <w:pPr>
              <w:pStyle w:val="TableText"/>
              <w:keepNext/>
              <w:jc w:val="right"/>
              <w:rPr>
                <w:szCs w:val="20"/>
              </w:rPr>
            </w:pPr>
            <w:r w:rsidRPr="0090680E">
              <w:rPr>
                <w:rFonts w:cs="Arial"/>
                <w:b/>
                <w:bCs/>
                <w:color w:val="000000"/>
                <w:szCs w:val="20"/>
              </w:rPr>
              <w:t>redacted</w:t>
            </w:r>
            <w:r w:rsidR="00D947F3">
              <w:rPr>
                <w:rFonts w:cs="Arial"/>
                <w:color w:val="000000"/>
                <w:szCs w:val="20"/>
                <w:vertAlign w:val="superscript"/>
              </w:rPr>
              <w:t>1</w:t>
            </w:r>
          </w:p>
        </w:tc>
      </w:tr>
      <w:tr w:rsidR="000A79A9" w:rsidRPr="00026770" w14:paraId="0BC0D19C" w14:textId="77777777" w:rsidTr="0090680E">
        <w:tc>
          <w:tcPr>
            <w:tcW w:w="597" w:type="pct"/>
            <w:shd w:val="clear" w:color="auto" w:fill="auto"/>
          </w:tcPr>
          <w:p w14:paraId="1A54CF4B" w14:textId="14B6E802" w:rsidR="000A79A9" w:rsidRPr="0066027B" w:rsidRDefault="000A79A9" w:rsidP="000A79A9">
            <w:pPr>
              <w:pStyle w:val="TableText"/>
              <w:keepNext/>
              <w:rPr>
                <w:szCs w:val="20"/>
              </w:rPr>
            </w:pPr>
            <w:r w:rsidRPr="0066027B">
              <w:rPr>
                <w:szCs w:val="20"/>
              </w:rPr>
              <w:t>Total costs to the MBS (adjusted for GPG)</w:t>
            </w:r>
          </w:p>
        </w:tc>
        <w:tc>
          <w:tcPr>
            <w:tcW w:w="734" w:type="pct"/>
            <w:shd w:val="clear" w:color="auto" w:fill="auto"/>
          </w:tcPr>
          <w:p w14:paraId="42A121EC" w14:textId="5E7B8E28" w:rsidR="000A79A9" w:rsidRPr="0066027B" w:rsidRDefault="0090680E" w:rsidP="000A79A9">
            <w:pPr>
              <w:pStyle w:val="TableText"/>
              <w:keepNext/>
              <w:jc w:val="right"/>
              <w:rPr>
                <w:szCs w:val="20"/>
              </w:rPr>
            </w:pPr>
            <w:r w:rsidRPr="0090680E">
              <w:rPr>
                <w:rFonts w:cs="Arial"/>
                <w:b/>
                <w:bCs/>
                <w:color w:val="000000"/>
                <w:szCs w:val="20"/>
              </w:rPr>
              <w:t>redacted</w:t>
            </w:r>
            <w:r w:rsidR="000A79A9" w:rsidRPr="00C91232">
              <w:rPr>
                <w:rFonts w:cs="Arial"/>
                <w:color w:val="000000"/>
                <w:szCs w:val="20"/>
                <w:vertAlign w:val="superscript"/>
              </w:rPr>
              <w:t>1</w:t>
            </w:r>
          </w:p>
        </w:tc>
        <w:tc>
          <w:tcPr>
            <w:tcW w:w="734" w:type="pct"/>
            <w:shd w:val="clear" w:color="auto" w:fill="auto"/>
          </w:tcPr>
          <w:p w14:paraId="3A9F44FC" w14:textId="45097B7C" w:rsidR="000A79A9" w:rsidRPr="0066027B" w:rsidRDefault="0090680E" w:rsidP="000A79A9">
            <w:pPr>
              <w:pStyle w:val="TableText"/>
              <w:keepNext/>
              <w:jc w:val="right"/>
              <w:rPr>
                <w:szCs w:val="20"/>
              </w:rPr>
            </w:pPr>
            <w:r w:rsidRPr="0090680E">
              <w:rPr>
                <w:rFonts w:cs="Arial"/>
                <w:b/>
                <w:bCs/>
                <w:color w:val="000000"/>
                <w:szCs w:val="20"/>
              </w:rPr>
              <w:t>redacted</w:t>
            </w:r>
            <w:r w:rsidR="000A79A9" w:rsidRPr="00C91232">
              <w:rPr>
                <w:rFonts w:cs="Arial"/>
                <w:color w:val="000000"/>
                <w:szCs w:val="20"/>
                <w:vertAlign w:val="superscript"/>
              </w:rPr>
              <w:t>1</w:t>
            </w:r>
          </w:p>
        </w:tc>
        <w:tc>
          <w:tcPr>
            <w:tcW w:w="734" w:type="pct"/>
            <w:shd w:val="clear" w:color="auto" w:fill="auto"/>
          </w:tcPr>
          <w:p w14:paraId="0B2640C1" w14:textId="16BBBB55" w:rsidR="000A79A9" w:rsidRPr="0066027B" w:rsidRDefault="0090680E" w:rsidP="000A79A9">
            <w:pPr>
              <w:pStyle w:val="TableText"/>
              <w:keepNext/>
              <w:jc w:val="right"/>
              <w:rPr>
                <w:szCs w:val="20"/>
              </w:rPr>
            </w:pPr>
            <w:r w:rsidRPr="0090680E">
              <w:rPr>
                <w:rFonts w:cs="Arial"/>
                <w:b/>
                <w:bCs/>
                <w:color w:val="000000"/>
                <w:szCs w:val="20"/>
              </w:rPr>
              <w:t>redacted</w:t>
            </w:r>
            <w:r w:rsidR="00E72659">
              <w:rPr>
                <w:rFonts w:cs="Arial"/>
                <w:color w:val="000000"/>
                <w:szCs w:val="20"/>
                <w:vertAlign w:val="superscript"/>
              </w:rPr>
              <w:t>1</w:t>
            </w:r>
          </w:p>
        </w:tc>
        <w:tc>
          <w:tcPr>
            <w:tcW w:w="734" w:type="pct"/>
            <w:shd w:val="clear" w:color="auto" w:fill="auto"/>
          </w:tcPr>
          <w:p w14:paraId="558EF159" w14:textId="33C2DCD5" w:rsidR="000A79A9" w:rsidRPr="0066027B" w:rsidRDefault="0090680E" w:rsidP="000A79A9">
            <w:pPr>
              <w:pStyle w:val="TableText"/>
              <w:keepNext/>
              <w:jc w:val="right"/>
              <w:rPr>
                <w:szCs w:val="20"/>
              </w:rPr>
            </w:pPr>
            <w:r w:rsidRPr="0090680E">
              <w:rPr>
                <w:rFonts w:cs="Arial"/>
                <w:b/>
                <w:bCs/>
                <w:color w:val="000000"/>
                <w:szCs w:val="20"/>
              </w:rPr>
              <w:t>redacted</w:t>
            </w:r>
            <w:r w:rsidR="00E72659">
              <w:rPr>
                <w:rFonts w:cs="Arial"/>
                <w:color w:val="000000"/>
                <w:szCs w:val="20"/>
                <w:vertAlign w:val="superscript"/>
              </w:rPr>
              <w:t>1</w:t>
            </w:r>
          </w:p>
        </w:tc>
        <w:tc>
          <w:tcPr>
            <w:tcW w:w="734" w:type="pct"/>
            <w:shd w:val="clear" w:color="auto" w:fill="auto"/>
          </w:tcPr>
          <w:p w14:paraId="67CDB6E0" w14:textId="41F65A8E" w:rsidR="000A79A9" w:rsidRPr="0066027B" w:rsidRDefault="0090680E" w:rsidP="000A79A9">
            <w:pPr>
              <w:pStyle w:val="TableText"/>
              <w:keepNext/>
              <w:jc w:val="right"/>
              <w:rPr>
                <w:szCs w:val="20"/>
              </w:rPr>
            </w:pPr>
            <w:r w:rsidRPr="0090680E">
              <w:rPr>
                <w:rFonts w:cs="Arial"/>
                <w:b/>
                <w:bCs/>
                <w:color w:val="000000"/>
                <w:szCs w:val="20"/>
              </w:rPr>
              <w:t>redacted</w:t>
            </w:r>
            <w:r w:rsidR="00E72659">
              <w:rPr>
                <w:rFonts w:cs="Arial"/>
                <w:color w:val="000000"/>
                <w:szCs w:val="20"/>
                <w:vertAlign w:val="superscript"/>
              </w:rPr>
              <w:t>1</w:t>
            </w:r>
          </w:p>
        </w:tc>
        <w:tc>
          <w:tcPr>
            <w:tcW w:w="734" w:type="pct"/>
          </w:tcPr>
          <w:p w14:paraId="59ED9D85" w14:textId="55A16CCA" w:rsidR="000A79A9" w:rsidRPr="0066027B" w:rsidRDefault="0090680E" w:rsidP="000A79A9">
            <w:pPr>
              <w:pStyle w:val="TableText"/>
              <w:keepNext/>
              <w:jc w:val="right"/>
              <w:rPr>
                <w:szCs w:val="20"/>
              </w:rPr>
            </w:pPr>
            <w:r w:rsidRPr="0090680E">
              <w:rPr>
                <w:rFonts w:cs="Arial"/>
                <w:b/>
                <w:bCs/>
                <w:color w:val="000000"/>
                <w:szCs w:val="20"/>
              </w:rPr>
              <w:t>redacted</w:t>
            </w:r>
            <w:r w:rsidR="00D947F3" w:rsidRPr="0090680E">
              <w:rPr>
                <w:rFonts w:cs="Arial"/>
                <w:color w:val="000000"/>
                <w:szCs w:val="20"/>
                <w:vertAlign w:val="superscript"/>
              </w:rPr>
              <w:t>1</w:t>
            </w:r>
          </w:p>
        </w:tc>
      </w:tr>
      <w:tr w:rsidR="000A79A9" w:rsidRPr="00026770" w14:paraId="01F114E9" w14:textId="77777777" w:rsidTr="0090680E">
        <w:tc>
          <w:tcPr>
            <w:tcW w:w="597" w:type="pct"/>
            <w:shd w:val="clear" w:color="auto" w:fill="auto"/>
          </w:tcPr>
          <w:p w14:paraId="47E154CC" w14:textId="77777777" w:rsidR="000A79A9" w:rsidRPr="00D02146" w:rsidRDefault="000A79A9" w:rsidP="000A79A9">
            <w:pPr>
              <w:pStyle w:val="TableText"/>
              <w:keepNext/>
              <w:rPr>
                <w:b/>
                <w:bCs/>
                <w:szCs w:val="20"/>
              </w:rPr>
            </w:pPr>
            <w:r w:rsidRPr="0066027B">
              <w:rPr>
                <w:szCs w:val="20"/>
              </w:rPr>
              <w:t>Net cost to PBS/RPBS/MBS</w:t>
            </w:r>
          </w:p>
        </w:tc>
        <w:tc>
          <w:tcPr>
            <w:tcW w:w="734" w:type="pct"/>
            <w:shd w:val="clear" w:color="auto" w:fill="auto"/>
          </w:tcPr>
          <w:p w14:paraId="2A7EE72F" w14:textId="2CD76843" w:rsidR="000A79A9" w:rsidRPr="00D02146" w:rsidRDefault="0090680E" w:rsidP="000A79A9">
            <w:pPr>
              <w:pStyle w:val="TableText"/>
              <w:keepNext/>
              <w:jc w:val="right"/>
              <w:rPr>
                <w:b/>
                <w:bCs/>
                <w:szCs w:val="20"/>
              </w:rPr>
            </w:pPr>
            <w:r w:rsidRPr="0090680E">
              <w:rPr>
                <w:rFonts w:cs="Arial"/>
                <w:b/>
                <w:bCs/>
                <w:color w:val="000000"/>
                <w:szCs w:val="20"/>
              </w:rPr>
              <w:t>redacted</w:t>
            </w:r>
            <w:r w:rsidR="000A79A9" w:rsidRPr="003150B6">
              <w:rPr>
                <w:rFonts w:cs="Arial"/>
                <w:color w:val="000000"/>
                <w:szCs w:val="20"/>
                <w:vertAlign w:val="superscript"/>
              </w:rPr>
              <w:t>1</w:t>
            </w:r>
          </w:p>
        </w:tc>
        <w:tc>
          <w:tcPr>
            <w:tcW w:w="734" w:type="pct"/>
            <w:shd w:val="clear" w:color="auto" w:fill="auto"/>
          </w:tcPr>
          <w:p w14:paraId="6177BE14" w14:textId="5EC794E0" w:rsidR="000A79A9" w:rsidRPr="00D02146" w:rsidRDefault="0090680E" w:rsidP="000A79A9">
            <w:pPr>
              <w:pStyle w:val="TableText"/>
              <w:keepNext/>
              <w:jc w:val="right"/>
              <w:rPr>
                <w:b/>
                <w:bCs/>
                <w:szCs w:val="20"/>
              </w:rPr>
            </w:pPr>
            <w:r w:rsidRPr="0090680E">
              <w:rPr>
                <w:rFonts w:cs="Arial"/>
                <w:b/>
                <w:bCs/>
                <w:color w:val="000000"/>
                <w:szCs w:val="20"/>
              </w:rPr>
              <w:t>redacted</w:t>
            </w:r>
            <w:r w:rsidR="000A79A9" w:rsidRPr="003150B6">
              <w:rPr>
                <w:rFonts w:cs="Arial"/>
                <w:color w:val="000000"/>
                <w:szCs w:val="20"/>
                <w:vertAlign w:val="superscript"/>
              </w:rPr>
              <w:t>1</w:t>
            </w:r>
          </w:p>
        </w:tc>
        <w:tc>
          <w:tcPr>
            <w:tcW w:w="734" w:type="pct"/>
            <w:shd w:val="clear" w:color="auto" w:fill="auto"/>
          </w:tcPr>
          <w:p w14:paraId="49C3F475" w14:textId="29A73A9B" w:rsidR="000A79A9" w:rsidRPr="00D02146" w:rsidRDefault="0090680E" w:rsidP="000A79A9">
            <w:pPr>
              <w:pStyle w:val="TableText"/>
              <w:keepNext/>
              <w:jc w:val="right"/>
              <w:rPr>
                <w:b/>
                <w:bCs/>
                <w:szCs w:val="20"/>
              </w:rPr>
            </w:pPr>
            <w:r w:rsidRPr="0090680E">
              <w:rPr>
                <w:rFonts w:cs="Arial"/>
                <w:b/>
                <w:bCs/>
                <w:color w:val="000000"/>
                <w:szCs w:val="20"/>
              </w:rPr>
              <w:t>redacted</w:t>
            </w:r>
            <w:r w:rsidR="000A79A9" w:rsidRPr="003150B6">
              <w:rPr>
                <w:rFonts w:cs="Arial"/>
                <w:color w:val="000000"/>
                <w:szCs w:val="20"/>
                <w:vertAlign w:val="superscript"/>
              </w:rPr>
              <w:t>1</w:t>
            </w:r>
          </w:p>
        </w:tc>
        <w:tc>
          <w:tcPr>
            <w:tcW w:w="734" w:type="pct"/>
            <w:shd w:val="clear" w:color="auto" w:fill="auto"/>
          </w:tcPr>
          <w:p w14:paraId="7D861B9E" w14:textId="0F800F00" w:rsidR="000A79A9" w:rsidRPr="00D02146" w:rsidRDefault="0090680E" w:rsidP="000A79A9">
            <w:pPr>
              <w:pStyle w:val="TableText"/>
              <w:keepNext/>
              <w:jc w:val="right"/>
              <w:rPr>
                <w:b/>
                <w:bCs/>
                <w:szCs w:val="20"/>
              </w:rPr>
            </w:pPr>
            <w:r w:rsidRPr="0090680E">
              <w:rPr>
                <w:rFonts w:cs="Arial"/>
                <w:b/>
                <w:bCs/>
                <w:color w:val="000000"/>
                <w:szCs w:val="20"/>
              </w:rPr>
              <w:t>redacted</w:t>
            </w:r>
            <w:r w:rsidR="000A79A9" w:rsidRPr="003150B6">
              <w:rPr>
                <w:rFonts w:cs="Arial"/>
                <w:color w:val="000000"/>
                <w:szCs w:val="20"/>
                <w:vertAlign w:val="superscript"/>
              </w:rPr>
              <w:t>1</w:t>
            </w:r>
          </w:p>
        </w:tc>
        <w:tc>
          <w:tcPr>
            <w:tcW w:w="734" w:type="pct"/>
            <w:shd w:val="clear" w:color="auto" w:fill="auto"/>
          </w:tcPr>
          <w:p w14:paraId="1CDE8AEA" w14:textId="3ECC1970" w:rsidR="000A79A9" w:rsidRPr="00D02146" w:rsidRDefault="0090680E" w:rsidP="000A79A9">
            <w:pPr>
              <w:pStyle w:val="TableText"/>
              <w:keepNext/>
              <w:jc w:val="right"/>
              <w:rPr>
                <w:b/>
                <w:bCs/>
                <w:szCs w:val="20"/>
              </w:rPr>
            </w:pPr>
            <w:r w:rsidRPr="0090680E">
              <w:rPr>
                <w:rFonts w:cs="Arial"/>
                <w:b/>
                <w:bCs/>
                <w:color w:val="000000"/>
                <w:szCs w:val="20"/>
              </w:rPr>
              <w:t>redacted</w:t>
            </w:r>
            <w:r w:rsidR="000A79A9" w:rsidRPr="003150B6">
              <w:rPr>
                <w:rFonts w:cs="Arial"/>
                <w:color w:val="000000"/>
                <w:szCs w:val="20"/>
                <w:vertAlign w:val="superscript"/>
              </w:rPr>
              <w:t>1</w:t>
            </w:r>
          </w:p>
        </w:tc>
        <w:tc>
          <w:tcPr>
            <w:tcW w:w="734" w:type="pct"/>
          </w:tcPr>
          <w:p w14:paraId="2083F8EB" w14:textId="36F8BE7F" w:rsidR="000A79A9" w:rsidRPr="00D02146" w:rsidRDefault="0090680E" w:rsidP="000A79A9">
            <w:pPr>
              <w:pStyle w:val="TableText"/>
              <w:keepNext/>
              <w:jc w:val="right"/>
              <w:rPr>
                <w:b/>
                <w:bCs/>
                <w:szCs w:val="20"/>
              </w:rPr>
            </w:pPr>
            <w:r w:rsidRPr="0090680E">
              <w:rPr>
                <w:rFonts w:cs="Arial"/>
                <w:b/>
                <w:bCs/>
                <w:color w:val="000000"/>
                <w:szCs w:val="20"/>
              </w:rPr>
              <w:t>redacted</w:t>
            </w:r>
            <w:r w:rsidR="000A79A9" w:rsidRPr="003150B6">
              <w:rPr>
                <w:rFonts w:cs="Arial"/>
                <w:color w:val="000000"/>
                <w:szCs w:val="20"/>
                <w:vertAlign w:val="superscript"/>
              </w:rPr>
              <w:t>1</w:t>
            </w:r>
          </w:p>
        </w:tc>
      </w:tr>
      <w:tr w:rsidR="000A79A9" w:rsidRPr="00026770" w14:paraId="46CB9006" w14:textId="77777777" w:rsidTr="0090680E">
        <w:tc>
          <w:tcPr>
            <w:tcW w:w="597" w:type="pct"/>
            <w:shd w:val="clear" w:color="auto" w:fill="auto"/>
          </w:tcPr>
          <w:p w14:paraId="5A8A1E2A" w14:textId="657AC018" w:rsidR="000A79A9" w:rsidRPr="00F36E69" w:rsidRDefault="000A79A9" w:rsidP="000A79A9">
            <w:pPr>
              <w:pStyle w:val="TableText"/>
              <w:keepNext/>
              <w:rPr>
                <w:i/>
                <w:iCs/>
                <w:szCs w:val="20"/>
              </w:rPr>
            </w:pPr>
            <w:r w:rsidRPr="00F36E69">
              <w:rPr>
                <w:i/>
                <w:iCs/>
                <w:szCs w:val="20"/>
              </w:rPr>
              <w:t>Net cost to PBS/RPBS/MBS (adjusted for GPG)</w:t>
            </w:r>
          </w:p>
        </w:tc>
        <w:tc>
          <w:tcPr>
            <w:tcW w:w="734" w:type="pct"/>
            <w:shd w:val="clear" w:color="auto" w:fill="auto"/>
          </w:tcPr>
          <w:p w14:paraId="7FB4106A" w14:textId="7FB0DBAF" w:rsidR="000A79A9" w:rsidRPr="00F36E69" w:rsidRDefault="0090680E" w:rsidP="000A79A9">
            <w:pPr>
              <w:pStyle w:val="TableText"/>
              <w:keepNext/>
              <w:jc w:val="right"/>
              <w:rPr>
                <w:i/>
                <w:iCs/>
                <w:szCs w:val="20"/>
              </w:rPr>
            </w:pPr>
            <w:r w:rsidRPr="0090680E">
              <w:rPr>
                <w:rFonts w:cs="Arial"/>
                <w:b/>
                <w:bCs/>
                <w:color w:val="000000"/>
                <w:szCs w:val="20"/>
              </w:rPr>
              <w:t>redacted</w:t>
            </w:r>
            <w:r w:rsidR="000A79A9" w:rsidRPr="00620054">
              <w:rPr>
                <w:rFonts w:cs="Arial"/>
                <w:color w:val="000000"/>
                <w:szCs w:val="20"/>
                <w:vertAlign w:val="superscript"/>
              </w:rPr>
              <w:t>1</w:t>
            </w:r>
          </w:p>
        </w:tc>
        <w:tc>
          <w:tcPr>
            <w:tcW w:w="734" w:type="pct"/>
            <w:shd w:val="clear" w:color="auto" w:fill="auto"/>
          </w:tcPr>
          <w:p w14:paraId="39E6A693" w14:textId="3EE8C8B4" w:rsidR="000A79A9" w:rsidRPr="00F36E69" w:rsidRDefault="0090680E" w:rsidP="000A79A9">
            <w:pPr>
              <w:pStyle w:val="TableText"/>
              <w:keepNext/>
              <w:jc w:val="right"/>
              <w:rPr>
                <w:i/>
                <w:iCs/>
                <w:szCs w:val="20"/>
              </w:rPr>
            </w:pPr>
            <w:r w:rsidRPr="0090680E">
              <w:rPr>
                <w:rFonts w:cs="Arial"/>
                <w:b/>
                <w:bCs/>
                <w:color w:val="000000"/>
                <w:szCs w:val="20"/>
              </w:rPr>
              <w:t>redacted</w:t>
            </w:r>
            <w:r w:rsidR="000A79A9" w:rsidRPr="00620054">
              <w:rPr>
                <w:rFonts w:cs="Arial"/>
                <w:color w:val="000000"/>
                <w:szCs w:val="20"/>
                <w:vertAlign w:val="superscript"/>
              </w:rPr>
              <w:t>1</w:t>
            </w:r>
          </w:p>
        </w:tc>
        <w:tc>
          <w:tcPr>
            <w:tcW w:w="734" w:type="pct"/>
            <w:shd w:val="clear" w:color="auto" w:fill="auto"/>
          </w:tcPr>
          <w:p w14:paraId="609116D0" w14:textId="03686C3F" w:rsidR="000A79A9" w:rsidRPr="00F36E69" w:rsidRDefault="0090680E" w:rsidP="000A79A9">
            <w:pPr>
              <w:pStyle w:val="TableText"/>
              <w:keepNext/>
              <w:jc w:val="right"/>
              <w:rPr>
                <w:i/>
                <w:iCs/>
                <w:szCs w:val="20"/>
              </w:rPr>
            </w:pPr>
            <w:r w:rsidRPr="0090680E">
              <w:rPr>
                <w:rFonts w:cs="Arial"/>
                <w:b/>
                <w:bCs/>
                <w:color w:val="000000"/>
                <w:szCs w:val="20"/>
              </w:rPr>
              <w:t>redacted</w:t>
            </w:r>
            <w:r w:rsidR="000A79A9" w:rsidRPr="00620054">
              <w:rPr>
                <w:rFonts w:cs="Arial"/>
                <w:color w:val="000000"/>
                <w:szCs w:val="20"/>
                <w:vertAlign w:val="superscript"/>
              </w:rPr>
              <w:t>1</w:t>
            </w:r>
          </w:p>
        </w:tc>
        <w:tc>
          <w:tcPr>
            <w:tcW w:w="734" w:type="pct"/>
            <w:shd w:val="clear" w:color="auto" w:fill="auto"/>
          </w:tcPr>
          <w:p w14:paraId="3925195B" w14:textId="580D71F8" w:rsidR="000A79A9" w:rsidRPr="00F36E69" w:rsidRDefault="0090680E" w:rsidP="000A79A9">
            <w:pPr>
              <w:pStyle w:val="TableText"/>
              <w:keepNext/>
              <w:jc w:val="right"/>
              <w:rPr>
                <w:i/>
                <w:iCs/>
                <w:szCs w:val="20"/>
              </w:rPr>
            </w:pPr>
            <w:r w:rsidRPr="0090680E">
              <w:rPr>
                <w:rFonts w:cs="Arial"/>
                <w:b/>
                <w:bCs/>
                <w:color w:val="000000"/>
                <w:szCs w:val="20"/>
              </w:rPr>
              <w:t>redacted</w:t>
            </w:r>
            <w:r w:rsidR="000A79A9" w:rsidRPr="00620054">
              <w:rPr>
                <w:rFonts w:cs="Arial"/>
                <w:color w:val="000000"/>
                <w:szCs w:val="20"/>
                <w:vertAlign w:val="superscript"/>
              </w:rPr>
              <w:t>1</w:t>
            </w:r>
          </w:p>
        </w:tc>
        <w:tc>
          <w:tcPr>
            <w:tcW w:w="734" w:type="pct"/>
            <w:shd w:val="clear" w:color="auto" w:fill="auto"/>
          </w:tcPr>
          <w:p w14:paraId="5F4A9232" w14:textId="16DA2311" w:rsidR="000A79A9" w:rsidRPr="00F36E69" w:rsidRDefault="0090680E" w:rsidP="000A79A9">
            <w:pPr>
              <w:pStyle w:val="TableText"/>
              <w:keepNext/>
              <w:jc w:val="right"/>
              <w:rPr>
                <w:i/>
                <w:iCs/>
                <w:szCs w:val="20"/>
              </w:rPr>
            </w:pPr>
            <w:r w:rsidRPr="0090680E">
              <w:rPr>
                <w:rFonts w:cs="Arial"/>
                <w:b/>
                <w:bCs/>
                <w:color w:val="000000"/>
                <w:szCs w:val="20"/>
              </w:rPr>
              <w:t>redacted</w:t>
            </w:r>
            <w:r w:rsidR="000A79A9" w:rsidRPr="00620054">
              <w:rPr>
                <w:rFonts w:cs="Arial"/>
                <w:color w:val="000000"/>
                <w:szCs w:val="20"/>
                <w:vertAlign w:val="superscript"/>
              </w:rPr>
              <w:t>1</w:t>
            </w:r>
          </w:p>
        </w:tc>
        <w:tc>
          <w:tcPr>
            <w:tcW w:w="734" w:type="pct"/>
          </w:tcPr>
          <w:p w14:paraId="4AD775B5" w14:textId="49801333" w:rsidR="000A79A9" w:rsidRPr="00F36E69" w:rsidRDefault="0090680E" w:rsidP="000A79A9">
            <w:pPr>
              <w:pStyle w:val="TableText"/>
              <w:keepNext/>
              <w:jc w:val="right"/>
              <w:rPr>
                <w:i/>
                <w:iCs/>
                <w:szCs w:val="20"/>
              </w:rPr>
            </w:pPr>
            <w:r w:rsidRPr="0090680E">
              <w:rPr>
                <w:rFonts w:cs="Arial"/>
                <w:b/>
                <w:bCs/>
                <w:color w:val="000000"/>
                <w:szCs w:val="20"/>
              </w:rPr>
              <w:t>redacted</w:t>
            </w:r>
            <w:r w:rsidR="000A79A9" w:rsidRPr="00620054">
              <w:rPr>
                <w:rFonts w:cs="Arial"/>
                <w:color w:val="000000"/>
                <w:szCs w:val="20"/>
                <w:vertAlign w:val="superscript"/>
              </w:rPr>
              <w:t>1</w:t>
            </w:r>
          </w:p>
        </w:tc>
      </w:tr>
    </w:tbl>
    <w:p w14:paraId="18BBD157" w14:textId="77777777" w:rsidR="007575A9" w:rsidRPr="004D70F4" w:rsidRDefault="007575A9" w:rsidP="0066027B">
      <w:pPr>
        <w:pStyle w:val="FooterTableFigure"/>
        <w:keepNext/>
      </w:pPr>
      <w:r>
        <w:t xml:space="preserve">Source: </w:t>
      </w:r>
      <w:r w:rsidRPr="004D70F4">
        <w:t xml:space="preserve">attached financial model, corrected </w:t>
      </w:r>
    </w:p>
    <w:p w14:paraId="785AADE7" w14:textId="77777777" w:rsidR="007575A9" w:rsidRPr="004D70F4" w:rsidRDefault="007575A9" w:rsidP="0066027B">
      <w:pPr>
        <w:pStyle w:val="FooterTableFigure"/>
        <w:keepNext/>
      </w:pPr>
      <w:r w:rsidRPr="004D70F4">
        <w:t xml:space="preserve">Text in </w:t>
      </w:r>
      <w:r w:rsidRPr="00F36E69">
        <w:rPr>
          <w:i/>
          <w:iCs/>
        </w:rPr>
        <w:t>italics</w:t>
      </w:r>
      <w:r w:rsidRPr="004D70F4">
        <w:t xml:space="preserve"> indicate values calculated during evaluation. The submission erroneously assumed no usage in HR + </w:t>
      </w:r>
      <w:r w:rsidRPr="0066027B">
        <w:rPr>
          <w:i/>
          <w:iCs/>
        </w:rPr>
        <w:t>de novo</w:t>
      </w:r>
      <w:r w:rsidRPr="004D70F4">
        <w:t xml:space="preserve"> mBC</w:t>
      </w:r>
    </w:p>
    <w:p w14:paraId="49CE69B5" w14:textId="1E4CE490" w:rsidR="007575A9" w:rsidRDefault="00450413" w:rsidP="0066027B">
      <w:pPr>
        <w:pStyle w:val="FooterTableFigure"/>
        <w:keepNext/>
      </w:pPr>
      <w:r>
        <w:t xml:space="preserve">GPG = Greatest Permissible Gap; </w:t>
      </w:r>
      <w:r w:rsidR="007575A9" w:rsidRPr="004D70F4">
        <w:t>PBS = Pharmaceutical Benefits Scheme; RPBS = Repatriation Pharmaceutical Benefits Scheme</w:t>
      </w:r>
    </w:p>
    <w:p w14:paraId="7C4E501E" w14:textId="516D6511" w:rsidR="00367D87" w:rsidRPr="003B3240" w:rsidRDefault="00367D87" w:rsidP="00367D87">
      <w:pPr>
        <w:pStyle w:val="FooterTableFigure"/>
        <w:tabs>
          <w:tab w:val="left" w:pos="284"/>
        </w:tabs>
        <w:spacing w:after="0"/>
        <w:contextualSpacing w:val="0"/>
        <w:rPr>
          <w:rFonts w:eastAsia="Calibri" w:cs="Calibri"/>
          <w:szCs w:val="18"/>
          <w14:ligatures w14:val="standardContextual"/>
        </w:rPr>
      </w:pPr>
      <w:r w:rsidRPr="003B3240">
        <w:rPr>
          <w:i/>
          <w:iCs/>
        </w:rPr>
        <w:t xml:space="preserve">The </w:t>
      </w:r>
      <w:r w:rsidR="0090680E" w:rsidRPr="0090680E">
        <w:rPr>
          <w:b/>
          <w:bCs/>
          <w:i/>
          <w:iCs/>
        </w:rPr>
        <w:t>redacted</w:t>
      </w:r>
      <w:r w:rsidRPr="003B3240">
        <w:rPr>
          <w:i/>
          <w:iCs/>
        </w:rPr>
        <w:t xml:space="preserve"> values correspond to the following ranges</w:t>
      </w:r>
    </w:p>
    <w:p w14:paraId="232B5C21" w14:textId="33B25390" w:rsidR="00367D87" w:rsidRPr="00AA25B2" w:rsidRDefault="00367D87" w:rsidP="00AA25B2">
      <w:pPr>
        <w:pStyle w:val="FooterTableFigure"/>
        <w:tabs>
          <w:tab w:val="left" w:pos="284"/>
        </w:tabs>
        <w:spacing w:after="0"/>
        <w:rPr>
          <w:rFonts w:eastAsia="Calibri" w:cs="Calibri"/>
          <w:i/>
          <w14:ligatures w14:val="standardContextual"/>
        </w:rPr>
      </w:pPr>
      <w:r w:rsidRPr="0090680E">
        <w:rPr>
          <w:rFonts w:eastAsia="Calibri" w:cs="Calibri"/>
          <w:i/>
          <w:vertAlign w:val="superscript"/>
        </w:rPr>
        <w:t>1</w:t>
      </w:r>
      <w:r w:rsidRPr="0F70D9B8">
        <w:rPr>
          <w:rFonts w:eastAsia="Calibri" w:cs="Calibri"/>
          <w:i/>
        </w:rPr>
        <w:t>$0 to &lt; $10 million</w:t>
      </w:r>
    </w:p>
    <w:p w14:paraId="735A428C" w14:textId="5B3C826B" w:rsidR="007575A9" w:rsidRDefault="007575A9" w:rsidP="00801332">
      <w:pPr>
        <w:spacing w:before="240"/>
      </w:pPr>
      <w:r w:rsidRPr="007575A9">
        <w:t xml:space="preserve">The total cost to the PBS/RPBS of listing olaparib was estimated to be </w:t>
      </w:r>
      <w:r w:rsidR="009252D4" w:rsidRPr="009252D4">
        <w:t xml:space="preserve">$10 million to </w:t>
      </w:r>
      <w:r w:rsidR="00AA25B2">
        <w:br/>
      </w:r>
      <w:r w:rsidR="009252D4" w:rsidRPr="009252D4">
        <w:t xml:space="preserve">&lt; $20 </w:t>
      </w:r>
      <w:r w:rsidRPr="007575A9">
        <w:t xml:space="preserve">million in Year 1, increasing to </w:t>
      </w:r>
      <w:r w:rsidR="009252D4" w:rsidRPr="009252D4">
        <w:t>$10 million to &lt; $20 million</w:t>
      </w:r>
      <w:r w:rsidR="009252D4" w:rsidRPr="009252D4" w:rsidDel="009252D4">
        <w:t xml:space="preserve"> </w:t>
      </w:r>
      <w:r w:rsidRPr="007575A9">
        <w:t xml:space="preserve">in Year 6, and a total of </w:t>
      </w:r>
      <w:r w:rsidR="00440E31" w:rsidRPr="0090680E">
        <w:rPr>
          <w:rFonts w:eastAsia="Calibri" w:cs="Calibri"/>
          <w:szCs w:val="18"/>
          <w14:ligatures w14:val="standardContextual"/>
        </w:rPr>
        <w:t>$90 million to &lt; $100 </w:t>
      </w:r>
      <w:r w:rsidRPr="007575A9">
        <w:t xml:space="preserve">million in the first 6 years of listing. </w:t>
      </w:r>
    </w:p>
    <w:p w14:paraId="3D6E2A22" w14:textId="3B642B2C" w:rsidR="006A6A16" w:rsidRPr="007575A9" w:rsidRDefault="006A6A16" w:rsidP="007575A9">
      <w:r>
        <w:t xml:space="preserve">The total costs to the MBS, adjusted for GPG was </w:t>
      </w:r>
      <w:r w:rsidR="004B63CF" w:rsidRPr="004B63CF">
        <w:t>$0 to &lt; $10</w:t>
      </w:r>
      <w:r>
        <w:t xml:space="preserve">million in Year 1, increasing to </w:t>
      </w:r>
      <w:r w:rsidR="00AA25B2">
        <w:br/>
      </w:r>
      <w:r w:rsidR="004B63CF" w:rsidRPr="004B63CF">
        <w:t xml:space="preserve">$0 to &lt; $10 </w:t>
      </w:r>
      <w:r>
        <w:t xml:space="preserve">million in year 6 and a total of </w:t>
      </w:r>
      <w:r w:rsidR="004B63CF" w:rsidRPr="004B63CF">
        <w:t>$</w:t>
      </w:r>
      <w:r w:rsidR="004B63CF">
        <w:t>1</w:t>
      </w:r>
      <w:r w:rsidR="004B63CF" w:rsidRPr="004B63CF">
        <w:t>0 to &lt; $</w:t>
      </w:r>
      <w:r w:rsidR="004B63CF">
        <w:t>2</w:t>
      </w:r>
      <w:r w:rsidR="004B63CF" w:rsidRPr="004B63CF">
        <w:t xml:space="preserve">0 </w:t>
      </w:r>
      <w:r>
        <w:t>million in the first 6 years of listing.</w:t>
      </w:r>
    </w:p>
    <w:p w14:paraId="68B7DF41" w14:textId="09381977" w:rsidR="007575A9" w:rsidRPr="007575A9" w:rsidRDefault="007575A9" w:rsidP="007575A9">
      <w:r w:rsidRPr="007575A9">
        <w:t xml:space="preserve">The submission </w:t>
      </w:r>
      <w:r w:rsidRPr="005E37F9">
        <w:t>assumed</w:t>
      </w:r>
      <w:r w:rsidRPr="0090680E">
        <w:t xml:space="preserve"> </w:t>
      </w:r>
      <w:r w:rsidR="009252D4" w:rsidRPr="0090680E">
        <w:t>&lt;500</w:t>
      </w:r>
      <w:r w:rsidR="009252D4" w:rsidRPr="007575A9">
        <w:t xml:space="preserve"> </w:t>
      </w:r>
      <w:r w:rsidRPr="007575A9">
        <w:t xml:space="preserve">grandfathered patients based on an access program. These patients were added to the incident population in Year 1 of listing. </w:t>
      </w:r>
      <w:r w:rsidR="005F7558" w:rsidRPr="005F7558">
        <w:t xml:space="preserve">The commentary considered this </w:t>
      </w:r>
      <w:r w:rsidRPr="007575A9">
        <w:t>was reasonable.</w:t>
      </w:r>
    </w:p>
    <w:p w14:paraId="70FCBE1E" w14:textId="26464FCD" w:rsidR="007575A9" w:rsidRPr="007575A9" w:rsidRDefault="007575A9" w:rsidP="007575A9">
      <w:r w:rsidRPr="007575A9">
        <w:lastRenderedPageBreak/>
        <w:t>The</w:t>
      </w:r>
      <w:r w:rsidR="005F7558" w:rsidRPr="005F7558">
        <w:t xml:space="preserve"> commentary considered that the </w:t>
      </w:r>
      <w:r w:rsidRPr="007575A9">
        <w:t>financial estimates presented may be uncertain as:</w:t>
      </w:r>
    </w:p>
    <w:p w14:paraId="2B166841" w14:textId="77777777" w:rsidR="007575A9" w:rsidRPr="007575A9" w:rsidRDefault="007575A9" w:rsidP="00FF07E6">
      <w:pPr>
        <w:pStyle w:val="ListParagraph"/>
        <w:numPr>
          <w:ilvl w:val="0"/>
          <w:numId w:val="22"/>
        </w:numPr>
        <w:ind w:left="284" w:hanging="284"/>
      </w:pPr>
      <w:r w:rsidRPr="007575A9">
        <w:t>The number of packs of olaparib used may be underestimated as the duration of treatment of olaparib (based on mean usage in OlympiAD) may be underestimated as assessment for progression in clinical practice may be less frequent than in clinical trials therefore patients were less likely to discontinue precisely at progression;</w:t>
      </w:r>
    </w:p>
    <w:p w14:paraId="15AA59E9" w14:textId="21BA0116" w:rsidR="007575A9" w:rsidRPr="007575A9" w:rsidRDefault="007575A9" w:rsidP="00FF07E6">
      <w:pPr>
        <w:pStyle w:val="ListParagraph"/>
        <w:numPr>
          <w:ilvl w:val="0"/>
          <w:numId w:val="22"/>
        </w:numPr>
        <w:ind w:left="284" w:hanging="284"/>
      </w:pPr>
      <w:r w:rsidRPr="007575A9">
        <w:t xml:space="preserve">However the number of eligible patients may be overestimated at it was assumed that 63% of recurrent HR+ mBC patients would have had any (neo)adjuvant chemotherapy in the eBC setting whereas the PBAC had previously considered that </w:t>
      </w:r>
      <w:r w:rsidRPr="00AA39C9">
        <w:rPr>
          <w:shd w:val="clear" w:color="auto" w:fill="FFFFFF" w:themeFill="background1"/>
        </w:rPr>
        <w:t>25</w:t>
      </w:r>
      <w:r w:rsidRPr="007575A9">
        <w:t xml:space="preserve">% may be more reasonable (Table 19, </w:t>
      </w:r>
      <w:r w:rsidR="00C60A6B" w:rsidRPr="00BC620E">
        <w:t>olaparib PSD March 2023 PBAC meeting</w:t>
      </w:r>
      <w:r w:rsidR="00C60A6B">
        <w:rPr>
          <w:rStyle w:val="FootnoteReference"/>
        </w:rPr>
        <w:footnoteReference w:id="13"/>
      </w:r>
      <w:r w:rsidRPr="007575A9">
        <w:t>);</w:t>
      </w:r>
    </w:p>
    <w:p w14:paraId="43480062" w14:textId="77777777" w:rsidR="007575A9" w:rsidRPr="007575A9" w:rsidRDefault="007575A9" w:rsidP="00FF07E6">
      <w:pPr>
        <w:pStyle w:val="ListParagraph"/>
        <w:numPr>
          <w:ilvl w:val="0"/>
          <w:numId w:val="22"/>
        </w:numPr>
        <w:ind w:left="284" w:hanging="284"/>
      </w:pPr>
      <w:r w:rsidRPr="007575A9">
        <w:t>The submission also did not calculate cost offsets for treatments replaced, which would overestimate total net costs. There is uncertainty if olaparib will replace other costly targeted therapies such as CDK4/6 inhibitors, pembrolizumab or sacituzumab govitecan, or be used sequentially. However, if in practice the more expensive therapies were replaced, cost offsets may be substantial and therefore total net costs would be overestimated; and</w:t>
      </w:r>
    </w:p>
    <w:p w14:paraId="3C43870B" w14:textId="77777777" w:rsidR="007575A9" w:rsidRPr="007575A9" w:rsidRDefault="007575A9" w:rsidP="00FF07E6">
      <w:pPr>
        <w:pStyle w:val="ListParagraph"/>
        <w:numPr>
          <w:ilvl w:val="0"/>
          <w:numId w:val="22"/>
        </w:numPr>
        <w:ind w:left="284" w:hanging="284"/>
      </w:pPr>
      <w:r w:rsidRPr="007575A9">
        <w:t xml:space="preserve">The proportion of </w:t>
      </w:r>
      <w:r w:rsidRPr="11FAFD31">
        <w:rPr>
          <w:i/>
          <w:iCs/>
        </w:rPr>
        <w:t>de novo</w:t>
      </w:r>
      <w:r w:rsidRPr="007575A9">
        <w:t xml:space="preserve"> mBC patients was uncertain. The OlympiAD trial (12.6%) reported a lower proportion of </w:t>
      </w:r>
      <w:r w:rsidRPr="11FAFD31">
        <w:rPr>
          <w:i/>
          <w:iCs/>
        </w:rPr>
        <w:t>de novo</w:t>
      </w:r>
      <w:r w:rsidRPr="007575A9">
        <w:t xml:space="preserve"> patients than the KARMA registry (26%) or ARORA registry (41%). In the base case of the financial estimates the submission used the average of KARMA and AURORA (</w:t>
      </w:r>
      <w:r w:rsidRPr="00AA39C9">
        <w:rPr>
          <w:shd w:val="clear" w:color="auto" w:fill="FFFFFF" w:themeFill="background1"/>
        </w:rPr>
        <w:t>34</w:t>
      </w:r>
      <w:r w:rsidRPr="007575A9">
        <w:t xml:space="preserve">%). Should the proportion of patients with </w:t>
      </w:r>
      <w:r w:rsidRPr="11FAFD31">
        <w:rPr>
          <w:i/>
          <w:iCs/>
        </w:rPr>
        <w:t>de novo</w:t>
      </w:r>
      <w:r w:rsidRPr="007575A9">
        <w:t xml:space="preserve"> disease be lower than expected then the number of </w:t>
      </w:r>
      <w:r w:rsidRPr="11FAFD31">
        <w:rPr>
          <w:i/>
          <w:iCs/>
        </w:rPr>
        <w:t>BRCA</w:t>
      </w:r>
      <w:r w:rsidRPr="007575A9">
        <w:t xml:space="preserve"> tests may be overestimated, and vice versa.</w:t>
      </w:r>
    </w:p>
    <w:p w14:paraId="7838A9FF" w14:textId="7D8AFB40" w:rsidR="00772829" w:rsidRPr="00CE28E3" w:rsidRDefault="00C36633" w:rsidP="002A18BE">
      <w:pPr>
        <w:pStyle w:val="Heading2"/>
        <w:numPr>
          <w:ilvl w:val="0"/>
          <w:numId w:val="0"/>
        </w:numPr>
      </w:pPr>
      <w:bookmarkStart w:id="53" w:name="_Toc69491427"/>
      <w:r>
        <w:t>1</w:t>
      </w:r>
      <w:r w:rsidR="00801332">
        <w:t>5</w:t>
      </w:r>
      <w:r>
        <w:t>.</w:t>
      </w:r>
      <w:r>
        <w:tab/>
      </w:r>
      <w:r w:rsidR="00772829" w:rsidRPr="00CE28E3">
        <w:t xml:space="preserve">Other relevant </w:t>
      </w:r>
      <w:bookmarkEnd w:id="53"/>
      <w:r w:rsidR="00FA5766">
        <w:t>information</w:t>
      </w:r>
    </w:p>
    <w:p w14:paraId="30DE9625" w14:textId="6E0F8386" w:rsidR="00772829" w:rsidRPr="00C07251" w:rsidRDefault="00066B07" w:rsidP="0066027B">
      <w:r>
        <w:t>Nil</w:t>
      </w:r>
      <w:r w:rsidR="00C07251" w:rsidRPr="00C07251">
        <w:t>.</w:t>
      </w:r>
    </w:p>
    <w:p w14:paraId="43642DA1" w14:textId="35528C8F" w:rsidR="00801332" w:rsidRPr="00C86E49" w:rsidRDefault="00801332" w:rsidP="00801332">
      <w:pPr>
        <w:pStyle w:val="Heading2"/>
        <w:numPr>
          <w:ilvl w:val="0"/>
          <w:numId w:val="0"/>
        </w:numPr>
      </w:pPr>
      <w:r w:rsidRPr="00C86E49">
        <w:t>1</w:t>
      </w:r>
      <w:r>
        <w:t>6</w:t>
      </w:r>
      <w:r w:rsidRPr="00C86E49">
        <w:t>.</w:t>
      </w:r>
      <w:r w:rsidRPr="00C86E49">
        <w:tab/>
        <w:t>Applicant comments on MSAC’s Public Summary Document</w:t>
      </w:r>
    </w:p>
    <w:p w14:paraId="4CFE2373" w14:textId="4835A1AD" w:rsidR="00801332" w:rsidRPr="0090680E" w:rsidRDefault="004B63CF" w:rsidP="00801332">
      <w:pPr>
        <w:spacing w:after="240"/>
      </w:pPr>
      <w:r w:rsidRPr="0090680E">
        <w:t>The applicant had no comment.</w:t>
      </w:r>
    </w:p>
    <w:p w14:paraId="63DB4DD6" w14:textId="4FF31273" w:rsidR="00801332" w:rsidRPr="00C86E49" w:rsidRDefault="00801332" w:rsidP="00801332">
      <w:pPr>
        <w:pStyle w:val="Heading2"/>
        <w:numPr>
          <w:ilvl w:val="0"/>
          <w:numId w:val="0"/>
        </w:numPr>
      </w:pPr>
      <w:r w:rsidRPr="00C86E49">
        <w:t>1</w:t>
      </w:r>
      <w:r>
        <w:t>7</w:t>
      </w:r>
      <w:r w:rsidRPr="00C86E49">
        <w:t>.</w:t>
      </w:r>
      <w:r w:rsidRPr="00C86E49">
        <w:tab/>
        <w:t>Further information on MSAC</w:t>
      </w:r>
    </w:p>
    <w:p w14:paraId="01B2A9FA" w14:textId="31452F18" w:rsidR="00772829" w:rsidRPr="00801332" w:rsidRDefault="00801332" w:rsidP="00801332">
      <w:pPr>
        <w:pStyle w:val="BodyText"/>
        <w:rPr>
          <w:rFonts w:ascii="Franklin Gothic Book" w:hAnsi="Franklin Gothic Book" w:cstheme="minorBidi"/>
          <w:b/>
          <w:bCs/>
          <w:i/>
          <w:iCs/>
          <w:sz w:val="22"/>
        </w:rPr>
      </w:pPr>
      <w:r w:rsidRPr="00C86E49">
        <w:rPr>
          <w:rFonts w:ascii="Franklin Gothic Book" w:hAnsi="Franklin Gothic Book"/>
          <w:bCs/>
          <w:iCs/>
          <w:sz w:val="22"/>
        </w:rPr>
        <w:t xml:space="preserve">MSAC Terms of Reference and other information are available on the MSAC Website: </w:t>
      </w:r>
      <w:hyperlink r:id="rId28" w:tooltip="Link to the MSAC website" w:history="1">
        <w:r w:rsidRPr="00C86E49">
          <w:rPr>
            <w:rStyle w:val="Hyperlink"/>
            <w:rFonts w:ascii="Franklin Gothic Book" w:hAnsi="Franklin Gothic Book"/>
            <w:bCs/>
            <w:iCs/>
            <w:sz w:val="22"/>
          </w:rPr>
          <w:t>visit the MSAC website</w:t>
        </w:r>
      </w:hyperlink>
    </w:p>
    <w:sectPr w:rsidR="00772829" w:rsidRPr="00801332" w:rsidSect="00845FC2">
      <w:headerReference w:type="even" r:id="rId29"/>
      <w:headerReference w:type="default" r:id="rId30"/>
      <w:footerReference w:type="even" r:id="rId31"/>
      <w:footerReference w:type="default" r:id="rId32"/>
      <w:headerReference w:type="first" r:id="rId33"/>
      <w:footerReference w:type="first" r:id="rId34"/>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8A92D" w14:textId="77777777" w:rsidR="007372FA" w:rsidRDefault="007372FA" w:rsidP="00B62DF2">
      <w:pPr>
        <w:spacing w:after="0" w:line="240" w:lineRule="auto"/>
      </w:pPr>
      <w:r>
        <w:separator/>
      </w:r>
    </w:p>
  </w:endnote>
  <w:endnote w:type="continuationSeparator" w:id="0">
    <w:p w14:paraId="301E93F1" w14:textId="77777777" w:rsidR="007372FA" w:rsidRDefault="007372FA" w:rsidP="00B62DF2">
      <w:pPr>
        <w:spacing w:after="0" w:line="240" w:lineRule="auto"/>
      </w:pPr>
      <w:r>
        <w:continuationSeparator/>
      </w:r>
    </w:p>
  </w:endnote>
  <w:endnote w:type="continuationNotice" w:id="1">
    <w:p w14:paraId="48852F16" w14:textId="77777777" w:rsidR="007372FA" w:rsidRDefault="007372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highlight w:val="yellow"/>
      </w:rPr>
      <w:id w:val="1925460831"/>
      <w:docPartObj>
        <w:docPartGallery w:val="Page Numbers (Bottom of Page)"/>
        <w:docPartUnique/>
      </w:docPartObj>
    </w:sdtPr>
    <w:sdtEndPr>
      <w:rPr>
        <w:noProof/>
        <w:highlight w:val="none"/>
      </w:rPr>
    </w:sdtEndPr>
    <w:sdtContent>
      <w:p w14:paraId="6E76D499" w14:textId="6A9A74BB" w:rsidR="005947B5" w:rsidRDefault="005947B5" w:rsidP="00E37B04">
        <w:pPr>
          <w:pStyle w:val="Footer"/>
          <w:tabs>
            <w:tab w:val="clear" w:pos="9026"/>
            <w:tab w:val="left" w:pos="1134"/>
            <w:tab w:val="right" w:pos="8931"/>
          </w:tabs>
          <w:jc w:val="right"/>
        </w:pPr>
        <w:r w:rsidRPr="008A6FDF">
          <w:fldChar w:fldCharType="begin"/>
        </w:r>
        <w:r w:rsidRPr="008A6FDF">
          <w:instrText xml:space="preserve"> PAGE   \* MERGEFORMAT </w:instrText>
        </w:r>
        <w:r w:rsidRPr="008A6FDF">
          <w:fldChar w:fldCharType="separate"/>
        </w:r>
        <w:r w:rsidR="00120BD3" w:rsidRPr="008A6FDF">
          <w:rPr>
            <w:noProof/>
          </w:rPr>
          <w:t>22</w:t>
        </w:r>
        <w:r w:rsidRPr="008A6FDF">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4847"/>
      <w:docPartObj>
        <w:docPartGallery w:val="Page Numbers (Bottom of Page)"/>
        <w:docPartUnique/>
      </w:docPartObj>
    </w:sdtPr>
    <w:sdtEndPr>
      <w:rPr>
        <w:noProof/>
      </w:rPr>
    </w:sdtEndPr>
    <w:sdtContent>
      <w:p w14:paraId="6BE9385A" w14:textId="3BF53C39"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D8EB" w14:textId="77777777" w:rsidR="00D20D88" w:rsidRDefault="00D20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8E33D" w14:textId="77777777" w:rsidR="007372FA" w:rsidRDefault="007372FA" w:rsidP="00B62DF2">
      <w:pPr>
        <w:spacing w:after="0" w:line="240" w:lineRule="auto"/>
      </w:pPr>
      <w:r>
        <w:separator/>
      </w:r>
    </w:p>
  </w:footnote>
  <w:footnote w:type="continuationSeparator" w:id="0">
    <w:p w14:paraId="43159F59" w14:textId="77777777" w:rsidR="007372FA" w:rsidRDefault="007372FA" w:rsidP="00B62DF2">
      <w:pPr>
        <w:spacing w:after="0" w:line="240" w:lineRule="auto"/>
      </w:pPr>
      <w:r>
        <w:continuationSeparator/>
      </w:r>
    </w:p>
  </w:footnote>
  <w:footnote w:type="continuationNotice" w:id="1">
    <w:p w14:paraId="174AD0BB" w14:textId="77777777" w:rsidR="007372FA" w:rsidRDefault="007372FA">
      <w:pPr>
        <w:spacing w:before="0" w:after="0" w:line="240" w:lineRule="auto"/>
      </w:pPr>
    </w:p>
  </w:footnote>
  <w:footnote w:id="2">
    <w:p w14:paraId="1868E75E" w14:textId="5945F2B1" w:rsidR="00A93122" w:rsidRDefault="00A93122" w:rsidP="0069304F">
      <w:pPr>
        <w:pStyle w:val="TableFooter"/>
        <w:jc w:val="left"/>
      </w:pPr>
      <w:r>
        <w:rPr>
          <w:rStyle w:val="FootnoteReference"/>
        </w:rPr>
        <w:footnoteRef/>
      </w:r>
      <w:r>
        <w:t xml:space="preserve"> </w:t>
      </w:r>
      <w:r w:rsidR="00206290">
        <w:t xml:space="preserve">MSAC application 1507 PICO confirmation available at </w:t>
      </w:r>
      <w:hyperlink r:id="rId1" w:history="1">
        <w:r w:rsidR="00206290" w:rsidRPr="00206290">
          <w:rPr>
            <w:rStyle w:val="Hyperlink"/>
          </w:rPr>
          <w:t>http://www.msac.gov.au/internet/msac/publishing.nsf/Content/D7C6D4F0118A502BCA2581AA0019BD60/$File/1507_PICOConfirmation-FINAL.pdf</w:t>
        </w:r>
      </w:hyperlink>
    </w:p>
  </w:footnote>
  <w:footnote w:id="3">
    <w:p w14:paraId="3068D2C7" w14:textId="7D95DE56" w:rsidR="00A93122" w:rsidRDefault="00A93122" w:rsidP="0069304F">
      <w:pPr>
        <w:pStyle w:val="TableFooter"/>
      </w:pPr>
      <w:r>
        <w:rPr>
          <w:rStyle w:val="FootnoteReference"/>
        </w:rPr>
        <w:footnoteRef/>
      </w:r>
      <w:r>
        <w:t xml:space="preserve"> </w:t>
      </w:r>
      <w:r w:rsidRPr="00180B30">
        <w:rPr>
          <w:rFonts w:cstheme="minorHAnsi"/>
          <w:szCs w:val="18"/>
        </w:rPr>
        <w:t>MSAC Application 1</w:t>
      </w:r>
      <w:r>
        <w:rPr>
          <w:rFonts w:cstheme="minorHAnsi"/>
          <w:szCs w:val="18"/>
        </w:rPr>
        <w:t>568</w:t>
      </w:r>
      <w:r w:rsidRPr="00180B30">
        <w:rPr>
          <w:rFonts w:cstheme="minorHAnsi"/>
          <w:szCs w:val="18"/>
        </w:rPr>
        <w:t xml:space="preserve"> available at</w:t>
      </w:r>
      <w:r w:rsidRPr="006419E4">
        <w:rPr>
          <w:rFonts w:cstheme="minorHAnsi"/>
          <w:szCs w:val="18"/>
        </w:rPr>
        <w:t xml:space="preserve"> </w:t>
      </w:r>
      <w:r>
        <w:t xml:space="preserve">MSAC </w:t>
      </w:r>
      <w:r w:rsidRPr="00A93122">
        <w:t>http://www.msac.gov.au/internet/msac/publishing.nsf/Content/1568-public</w:t>
      </w:r>
    </w:p>
  </w:footnote>
  <w:footnote w:id="4">
    <w:p w14:paraId="73716C75" w14:textId="6136F673" w:rsidR="0036309B" w:rsidRDefault="0036309B" w:rsidP="0069304F">
      <w:pPr>
        <w:pStyle w:val="TableFooter"/>
      </w:pPr>
      <w:r>
        <w:rPr>
          <w:rStyle w:val="FootnoteReference"/>
        </w:rPr>
        <w:footnoteRef/>
      </w:r>
      <w:r>
        <w:t xml:space="preserve"> </w:t>
      </w:r>
      <w:r w:rsidR="005976C6" w:rsidRPr="00A94D8C">
        <w:t>Robson M,</w:t>
      </w:r>
      <w:r w:rsidR="008E0B16" w:rsidRPr="00A94D8C">
        <w:t xml:space="preserve"> et al</w:t>
      </w:r>
      <w:r w:rsidR="005976C6" w:rsidRPr="00A94D8C">
        <w:t xml:space="preserve">. </w:t>
      </w:r>
      <w:r w:rsidR="0095273B" w:rsidRPr="00A94D8C">
        <w:t>(2017)</w:t>
      </w:r>
      <w:r w:rsidR="005976C6" w:rsidRPr="00A94D8C">
        <w:t xml:space="preserve"> Olaparib for Metastatic Breast Cancer in Patients with a Germline BRCA Mutation. </w:t>
      </w:r>
      <w:r w:rsidR="005976C6" w:rsidRPr="00A94D8C">
        <w:rPr>
          <w:i/>
          <w:iCs/>
        </w:rPr>
        <w:t>N Engl J Med</w:t>
      </w:r>
      <w:r w:rsidR="005976C6" w:rsidRPr="00A94D8C">
        <w:t xml:space="preserve">. Aug 10;377(6):523-533. doi: 10.1056/NEJMoa1706450. Epub 2017 Jun 4. Erratum in: </w:t>
      </w:r>
      <w:r w:rsidR="005976C6" w:rsidRPr="00A94D8C">
        <w:rPr>
          <w:i/>
          <w:iCs/>
        </w:rPr>
        <w:t>N Engl J Med</w:t>
      </w:r>
      <w:r w:rsidR="005976C6" w:rsidRPr="00A94D8C">
        <w:t>. 2017 Oct 26;377(17):1700. doi: 10.1056/NEJMx170012. PMID: 28578601.</w:t>
      </w:r>
    </w:p>
  </w:footnote>
  <w:footnote w:id="5">
    <w:p w14:paraId="53C82A09" w14:textId="7B80CD5E" w:rsidR="000820E6" w:rsidRDefault="000820E6" w:rsidP="0069304F">
      <w:pPr>
        <w:pStyle w:val="TableFooter"/>
      </w:pPr>
      <w:r>
        <w:rPr>
          <w:rStyle w:val="FootnoteReference"/>
        </w:rPr>
        <w:footnoteRef/>
      </w:r>
      <w:r>
        <w:t xml:space="preserve"> </w:t>
      </w:r>
      <w:hyperlink r:id="rId2" w:history="1">
        <w:r w:rsidRPr="00755CB5">
          <w:rPr>
            <w:rStyle w:val="Hyperlink"/>
          </w:rPr>
          <w:t>https://www.ebs.tga.gov.au/ebs/picmi/picmirepository.nsf/pdf?OpenAgent&amp;id=CP-2018-PI-01771-1&amp;d=20240703172310101</w:t>
        </w:r>
      </w:hyperlink>
    </w:p>
  </w:footnote>
  <w:footnote w:id="6">
    <w:p w14:paraId="24CB7DAD" w14:textId="77777777" w:rsidR="00F87911" w:rsidRPr="000C1CD0" w:rsidRDefault="00F87911" w:rsidP="000C1CD0">
      <w:pPr>
        <w:pStyle w:val="Tablenotes0"/>
      </w:pPr>
      <w:r w:rsidRPr="00E73601">
        <w:rPr>
          <w:rStyle w:val="FootnoteReference"/>
        </w:rPr>
        <w:footnoteRef/>
      </w:r>
      <w:r w:rsidRPr="000C1CD0">
        <w:t xml:space="preserve"> Curigliano et al (2023). ESMO </w:t>
      </w:r>
      <w:r w:rsidRPr="000C1CD0">
        <w:rPr>
          <w:rFonts w:ascii="Arial" w:hAnsi="Arial"/>
        </w:rPr>
        <w:t>​</w:t>
      </w:r>
      <w:r w:rsidRPr="000C1CD0">
        <w:t>Metastatic Breast Cancer Living Guidelines, v1.1 May 2023, https://www.esmo.org/living-guidelines/esmo-metastatic-breast-cancer-living-guideline.</w:t>
      </w:r>
    </w:p>
  </w:footnote>
  <w:footnote w:id="7">
    <w:p w14:paraId="70442B1A" w14:textId="016D8FAD" w:rsidR="00F87911" w:rsidRPr="00E73601" w:rsidRDefault="00F87911" w:rsidP="000C1CD0">
      <w:pPr>
        <w:pStyle w:val="Tablenotes0"/>
        <w:rPr>
          <w:lang w:val="en-US"/>
        </w:rPr>
      </w:pPr>
      <w:r w:rsidRPr="00E73601">
        <w:rPr>
          <w:rStyle w:val="FootnoteReference"/>
        </w:rPr>
        <w:footnoteRef/>
      </w:r>
      <w:r w:rsidRPr="000C1CD0">
        <w:t xml:space="preserve"> Al Sukhun S, </w:t>
      </w:r>
      <w:r w:rsidR="001502F5" w:rsidRPr="000C1CD0">
        <w:t>et al (2024)</w:t>
      </w:r>
      <w:r w:rsidRPr="000C1CD0">
        <w:t xml:space="preserve">. Systemic Treatment of Patients With Metastatic Breast Cancer: ASCO Resource-Stratified Guideline. </w:t>
      </w:r>
      <w:r w:rsidRPr="00E73601">
        <w:rPr>
          <w:i/>
          <w:iCs/>
        </w:rPr>
        <w:t>JCO Glob Oncol</w:t>
      </w:r>
      <w:r w:rsidRPr="000C1CD0">
        <w:t>. Jan;10:e2300285</w:t>
      </w:r>
    </w:p>
  </w:footnote>
  <w:footnote w:id="8">
    <w:p w14:paraId="2A414B52" w14:textId="5CE6FD7E" w:rsidR="00F87911" w:rsidRPr="00FD4169" w:rsidRDefault="00F87911" w:rsidP="00D81F90">
      <w:pPr>
        <w:pStyle w:val="Tablenotes0"/>
        <w:rPr>
          <w:lang w:val="en-US"/>
        </w:rPr>
      </w:pPr>
      <w:r w:rsidRPr="00FD4169">
        <w:rPr>
          <w:rStyle w:val="FootnoteReference"/>
        </w:rPr>
        <w:footnoteRef/>
      </w:r>
      <w:r w:rsidRPr="00D81F90">
        <w:t xml:space="preserve"> Sobral-Leite M, </w:t>
      </w:r>
      <w:r w:rsidR="000B5A74" w:rsidRPr="00D81F90">
        <w:t xml:space="preserve">et al </w:t>
      </w:r>
      <w:r w:rsidR="006F44BD" w:rsidRPr="00D81F90">
        <w:t>(2018)</w:t>
      </w:r>
      <w:r w:rsidRPr="00D81F90">
        <w:t xml:space="preserve">. Assessment of PD-L1 expression across breast cancer molecular subtypes, in relation to mutation rate, BRCA1-like status, tumor-infiltrating immune cells and survival. </w:t>
      </w:r>
      <w:r w:rsidRPr="00FD4169">
        <w:rPr>
          <w:i/>
          <w:iCs/>
        </w:rPr>
        <w:t>Oncoimmunology</w:t>
      </w:r>
      <w:r w:rsidRPr="00D81F90">
        <w:t>. Sep 11;7(12):e1509820</w:t>
      </w:r>
    </w:p>
  </w:footnote>
  <w:footnote w:id="9">
    <w:p w14:paraId="02DB28AF" w14:textId="6A427568" w:rsidR="00F87911" w:rsidRPr="00FD4169" w:rsidRDefault="00F87911" w:rsidP="00D81F90">
      <w:pPr>
        <w:pStyle w:val="Tablenotes0"/>
        <w:rPr>
          <w:lang w:val="en-GB"/>
        </w:rPr>
      </w:pPr>
      <w:r w:rsidRPr="00FD4169">
        <w:rPr>
          <w:rStyle w:val="FootnoteReference"/>
        </w:rPr>
        <w:footnoteRef/>
      </w:r>
      <w:r w:rsidRPr="00D81F90">
        <w:t xml:space="preserve"> </w:t>
      </w:r>
      <w:r w:rsidRPr="00FD4169">
        <w:rPr>
          <w:lang w:val="en-GB"/>
        </w:rPr>
        <w:t xml:space="preserve">Turajlic S, </w:t>
      </w:r>
      <w:r w:rsidR="00D02846" w:rsidRPr="00FD4169">
        <w:rPr>
          <w:lang w:val="en-GB"/>
        </w:rPr>
        <w:t>et al (2017)</w:t>
      </w:r>
      <w:r w:rsidRPr="00FD4169">
        <w:rPr>
          <w:lang w:val="en-GB"/>
        </w:rPr>
        <w:t>. Insertion-and-deletion-derived tumour-specific neoantigens and the immunogenic phenotype: a pan-cancer analysis</w:t>
      </w:r>
      <w:r w:rsidRPr="00FD4169">
        <w:rPr>
          <w:i/>
          <w:iCs/>
          <w:lang w:val="en-GB"/>
        </w:rPr>
        <w:t>. Lancet Oncol</w:t>
      </w:r>
      <w:r w:rsidRPr="00FD4169">
        <w:rPr>
          <w:lang w:val="en-GB"/>
        </w:rPr>
        <w:t>. Aug;18(8):1009-1021.</w:t>
      </w:r>
    </w:p>
  </w:footnote>
  <w:footnote w:id="10">
    <w:p w14:paraId="70ADE77F" w14:textId="394C510E" w:rsidR="00054427" w:rsidRPr="0047760D" w:rsidRDefault="00054427" w:rsidP="003B4249">
      <w:pPr>
        <w:pStyle w:val="Tablenotes0"/>
        <w:rPr>
          <w:rFonts w:asciiTheme="minorHAnsi" w:hAnsiTheme="minorHAnsi" w:cstheme="minorHAnsi"/>
        </w:rPr>
      </w:pPr>
      <w:r w:rsidRPr="00FD4169">
        <w:rPr>
          <w:rStyle w:val="FootnoteReference"/>
          <w:rFonts w:asciiTheme="minorHAnsi" w:hAnsiTheme="minorHAnsi" w:cstheme="minorHAnsi"/>
        </w:rPr>
        <w:footnoteRef/>
      </w:r>
      <w:r w:rsidRPr="00FD4169">
        <w:rPr>
          <w:rFonts w:asciiTheme="minorHAnsi" w:hAnsiTheme="minorHAnsi" w:cstheme="minorHAnsi"/>
        </w:rPr>
        <w:t xml:space="preserve"> File DM, </w:t>
      </w:r>
      <w:r w:rsidR="00922BE9" w:rsidRPr="00FD4169">
        <w:rPr>
          <w:rFonts w:asciiTheme="minorHAnsi" w:hAnsiTheme="minorHAnsi" w:cstheme="minorHAnsi"/>
        </w:rPr>
        <w:t>et al  (2022)</w:t>
      </w:r>
      <w:r w:rsidRPr="00FD4169">
        <w:rPr>
          <w:rFonts w:asciiTheme="minorHAnsi" w:hAnsiTheme="minorHAnsi" w:cstheme="minorHAnsi"/>
        </w:rPr>
        <w:t xml:space="preserve">. Clinical subtype, treatment response, and survival in De Novo and recurrent metastatic breast cancer. </w:t>
      </w:r>
      <w:r w:rsidRPr="00FD4169">
        <w:rPr>
          <w:rFonts w:asciiTheme="minorHAnsi" w:hAnsiTheme="minorHAnsi" w:cstheme="minorHAnsi"/>
          <w:i/>
        </w:rPr>
        <w:t>Breast Cancer Res Treat</w:t>
      </w:r>
      <w:r w:rsidRPr="00FD4169">
        <w:rPr>
          <w:rFonts w:asciiTheme="minorHAnsi" w:hAnsiTheme="minorHAnsi" w:cstheme="minorHAnsi"/>
        </w:rPr>
        <w:t>. Nov;196(1):153-162</w:t>
      </w:r>
    </w:p>
  </w:footnote>
  <w:footnote w:id="11">
    <w:p w14:paraId="1ECC33CD" w14:textId="00893F80" w:rsidR="003D4CFD" w:rsidRDefault="003D4CFD" w:rsidP="00E308EC">
      <w:pPr>
        <w:pStyle w:val="Tablenotes0"/>
      </w:pPr>
      <w:r>
        <w:rPr>
          <w:rStyle w:val="FootnoteReference"/>
        </w:rPr>
        <w:footnoteRef/>
      </w:r>
      <w:r>
        <w:t xml:space="preserve"> </w:t>
      </w:r>
      <w:r w:rsidRPr="007D10B7">
        <w:t>Osoba D,</w:t>
      </w:r>
      <w:r w:rsidR="00E03A6D">
        <w:t xml:space="preserve"> et al (1998)</w:t>
      </w:r>
      <w:r w:rsidRPr="007D10B7">
        <w:t xml:space="preserve">. Interpreting the significance of changes in health-related quality-of-life scores. </w:t>
      </w:r>
      <w:r w:rsidRPr="00E308EC">
        <w:rPr>
          <w:i/>
          <w:iCs/>
        </w:rPr>
        <w:t>J Clin Oncol</w:t>
      </w:r>
      <w:r w:rsidRPr="007D10B7">
        <w:t>. Jan;16(1):139-44.</w:t>
      </w:r>
    </w:p>
  </w:footnote>
  <w:footnote w:id="12">
    <w:p w14:paraId="2CE91A0D" w14:textId="5456C9DC" w:rsidR="008A5CD1" w:rsidRDefault="008A5CD1">
      <w:pPr>
        <w:pStyle w:val="FootnoteText"/>
      </w:pPr>
      <w:r>
        <w:rPr>
          <w:rStyle w:val="FootnoteReference"/>
        </w:rPr>
        <w:footnoteRef/>
      </w:r>
      <w:r>
        <w:t xml:space="preserve"> </w:t>
      </w:r>
      <w:r w:rsidRPr="008A5CD1">
        <w:t>https://www.pbs.gov.au/industry/listing/elements/pbac-meetings/psd/2023-03/files/olaparib-psd-03-2023.pdf</w:t>
      </w:r>
    </w:p>
  </w:footnote>
  <w:footnote w:id="13">
    <w:p w14:paraId="2709E4FC" w14:textId="63DE02A7" w:rsidR="00BC620E" w:rsidRDefault="00C60A6B" w:rsidP="00BC620E">
      <w:pPr>
        <w:pStyle w:val="Tablenotes0"/>
      </w:pPr>
      <w:r>
        <w:rPr>
          <w:rStyle w:val="FootnoteReference"/>
        </w:rPr>
        <w:footnoteRef/>
      </w:r>
      <w:r>
        <w:t xml:space="preserve"> </w:t>
      </w:r>
      <w:hyperlink r:id="rId3" w:history="1">
        <w:r w:rsidR="00BC620E" w:rsidRPr="001F4B43">
          <w:rPr>
            <w:rStyle w:val="Hyperlink"/>
          </w:rPr>
          <w:t>https://www.pbs.gov.au/industry/listing/elements/pbac-meetings/psd/2023-03/files/olaparib-psd-03-2023.pdf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C6E5" w14:textId="77777777" w:rsidR="00D20D88" w:rsidRDefault="00D20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114" w14:textId="77777777" w:rsidR="00D20D88" w:rsidRDefault="00D20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FCCFE" w14:textId="77777777" w:rsidR="00D20D88" w:rsidRDefault="00D2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F9243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E6327"/>
    <w:multiLevelType w:val="hybridMultilevel"/>
    <w:tmpl w:val="5642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E5D65"/>
    <w:multiLevelType w:val="hybridMultilevel"/>
    <w:tmpl w:val="4E86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F6FC9"/>
    <w:multiLevelType w:val="hybridMultilevel"/>
    <w:tmpl w:val="8C50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35179"/>
    <w:multiLevelType w:val="hybridMultilevel"/>
    <w:tmpl w:val="AC42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D6944"/>
    <w:multiLevelType w:val="hybridMultilevel"/>
    <w:tmpl w:val="3EC2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04616"/>
    <w:multiLevelType w:val="hybridMultilevel"/>
    <w:tmpl w:val="D6CCF13A"/>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7E69EF"/>
    <w:multiLevelType w:val="hybridMultilevel"/>
    <w:tmpl w:val="6DB0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A34A0"/>
    <w:multiLevelType w:val="hybridMultilevel"/>
    <w:tmpl w:val="48404BF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A37C5"/>
    <w:multiLevelType w:val="hybridMultilevel"/>
    <w:tmpl w:val="C3CA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3"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C5639C"/>
    <w:multiLevelType w:val="hybridMultilevel"/>
    <w:tmpl w:val="5798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65F55"/>
    <w:multiLevelType w:val="hybridMultilevel"/>
    <w:tmpl w:val="2B08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6618B"/>
    <w:multiLevelType w:val="hybridMultilevel"/>
    <w:tmpl w:val="D3BE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C1B68"/>
    <w:multiLevelType w:val="hybridMultilevel"/>
    <w:tmpl w:val="9FD2B8D0"/>
    <w:lvl w:ilvl="0" w:tplc="FFFFFFFF">
      <w:start w:val="1"/>
      <w:numFmt w:val="lowerLetter"/>
      <w:lvlText w:val="%1)"/>
      <w:lvlJc w:val="left"/>
      <w:pPr>
        <w:ind w:left="360" w:hanging="360"/>
      </w:pPr>
    </w:lvl>
    <w:lvl w:ilvl="1" w:tplc="FFFFFFFF">
      <w:start w:val="1"/>
      <w:numFmt w:val="lowerRoman"/>
      <w:lvlText w:val="%2."/>
      <w:lvlJc w:val="right"/>
      <w:pPr>
        <w:ind w:left="70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58D67A6"/>
    <w:multiLevelType w:val="hybridMultilevel"/>
    <w:tmpl w:val="1E609A28"/>
    <w:lvl w:ilvl="0" w:tplc="08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E6462F"/>
    <w:multiLevelType w:val="hybridMultilevel"/>
    <w:tmpl w:val="CD5CCB32"/>
    <w:lvl w:ilvl="0" w:tplc="09ECDD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584E5D"/>
    <w:multiLevelType w:val="hybridMultilevel"/>
    <w:tmpl w:val="00E498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96D0F5F"/>
    <w:multiLevelType w:val="hybridMultilevel"/>
    <w:tmpl w:val="CEFE9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486BCD"/>
    <w:multiLevelType w:val="hybridMultilevel"/>
    <w:tmpl w:val="683C2C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8330F6"/>
    <w:multiLevelType w:val="hybridMultilevel"/>
    <w:tmpl w:val="B9300392"/>
    <w:lvl w:ilvl="0" w:tplc="DB561818">
      <w:start w:val="4"/>
      <w:numFmt w:val="bullet"/>
      <w:lvlText w:val="-"/>
      <w:lvlJc w:val="left"/>
      <w:pPr>
        <w:ind w:left="1080" w:hanging="360"/>
      </w:pPr>
      <w:rPr>
        <w:rFonts w:ascii="Franklin Gothic Book" w:eastAsiaTheme="minorHAnsi" w:hAnsi="Franklin Gothic Book"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B349B5"/>
    <w:multiLevelType w:val="hybridMultilevel"/>
    <w:tmpl w:val="C910EDAA"/>
    <w:lvl w:ilvl="0" w:tplc="41F00A6E">
      <w:start w:val="1"/>
      <w:numFmt w:val="bullet"/>
      <w:lvlText w:val=""/>
      <w:lvlJc w:val="left"/>
      <w:pPr>
        <w:ind w:left="720" w:hanging="360"/>
      </w:pPr>
      <w:rPr>
        <w:rFonts w:ascii="Symbol" w:hAnsi="Symbol"/>
      </w:rPr>
    </w:lvl>
    <w:lvl w:ilvl="1" w:tplc="9C8AF4CA">
      <w:start w:val="1"/>
      <w:numFmt w:val="bullet"/>
      <w:lvlText w:val=""/>
      <w:lvlJc w:val="left"/>
      <w:pPr>
        <w:ind w:left="720" w:hanging="360"/>
      </w:pPr>
      <w:rPr>
        <w:rFonts w:ascii="Symbol" w:hAnsi="Symbol"/>
      </w:rPr>
    </w:lvl>
    <w:lvl w:ilvl="2" w:tplc="9F62F192">
      <w:start w:val="1"/>
      <w:numFmt w:val="bullet"/>
      <w:lvlText w:val=""/>
      <w:lvlJc w:val="left"/>
      <w:pPr>
        <w:ind w:left="720" w:hanging="360"/>
      </w:pPr>
      <w:rPr>
        <w:rFonts w:ascii="Symbol" w:hAnsi="Symbol"/>
      </w:rPr>
    </w:lvl>
    <w:lvl w:ilvl="3" w:tplc="3084C22E">
      <w:start w:val="1"/>
      <w:numFmt w:val="bullet"/>
      <w:lvlText w:val=""/>
      <w:lvlJc w:val="left"/>
      <w:pPr>
        <w:ind w:left="720" w:hanging="360"/>
      </w:pPr>
      <w:rPr>
        <w:rFonts w:ascii="Symbol" w:hAnsi="Symbol"/>
      </w:rPr>
    </w:lvl>
    <w:lvl w:ilvl="4" w:tplc="1452FBA6">
      <w:start w:val="1"/>
      <w:numFmt w:val="bullet"/>
      <w:lvlText w:val=""/>
      <w:lvlJc w:val="left"/>
      <w:pPr>
        <w:ind w:left="720" w:hanging="360"/>
      </w:pPr>
      <w:rPr>
        <w:rFonts w:ascii="Symbol" w:hAnsi="Symbol"/>
      </w:rPr>
    </w:lvl>
    <w:lvl w:ilvl="5" w:tplc="B98CA4FC">
      <w:start w:val="1"/>
      <w:numFmt w:val="bullet"/>
      <w:lvlText w:val=""/>
      <w:lvlJc w:val="left"/>
      <w:pPr>
        <w:ind w:left="720" w:hanging="360"/>
      </w:pPr>
      <w:rPr>
        <w:rFonts w:ascii="Symbol" w:hAnsi="Symbol"/>
      </w:rPr>
    </w:lvl>
    <w:lvl w:ilvl="6" w:tplc="FADC7712">
      <w:start w:val="1"/>
      <w:numFmt w:val="bullet"/>
      <w:lvlText w:val=""/>
      <w:lvlJc w:val="left"/>
      <w:pPr>
        <w:ind w:left="720" w:hanging="360"/>
      </w:pPr>
      <w:rPr>
        <w:rFonts w:ascii="Symbol" w:hAnsi="Symbol"/>
      </w:rPr>
    </w:lvl>
    <w:lvl w:ilvl="7" w:tplc="667AE41A">
      <w:start w:val="1"/>
      <w:numFmt w:val="bullet"/>
      <w:lvlText w:val=""/>
      <w:lvlJc w:val="left"/>
      <w:pPr>
        <w:ind w:left="720" w:hanging="360"/>
      </w:pPr>
      <w:rPr>
        <w:rFonts w:ascii="Symbol" w:hAnsi="Symbol"/>
      </w:rPr>
    </w:lvl>
    <w:lvl w:ilvl="8" w:tplc="3C4CABF8">
      <w:start w:val="1"/>
      <w:numFmt w:val="bullet"/>
      <w:lvlText w:val=""/>
      <w:lvlJc w:val="left"/>
      <w:pPr>
        <w:ind w:left="720" w:hanging="360"/>
      </w:pPr>
      <w:rPr>
        <w:rFonts w:ascii="Symbol" w:hAnsi="Symbol"/>
      </w:rPr>
    </w:lvl>
  </w:abstractNum>
  <w:abstractNum w:abstractNumId="29" w15:restartNumberingAfterBreak="0">
    <w:nsid w:val="5CA97885"/>
    <w:multiLevelType w:val="hybridMultilevel"/>
    <w:tmpl w:val="2D5461B0"/>
    <w:lvl w:ilvl="0" w:tplc="FFFFFFFF">
      <w:start w:val="1"/>
      <w:numFmt w:val="lowerLetter"/>
      <w:lvlText w:val="%1)"/>
      <w:lvlJc w:val="left"/>
      <w:pPr>
        <w:ind w:left="360" w:hanging="360"/>
      </w:pPr>
    </w:lvl>
    <w:lvl w:ilvl="1" w:tplc="FFFFFFFF">
      <w:start w:val="1"/>
      <w:numFmt w:val="lowerRoman"/>
      <w:lvlText w:val="%2."/>
      <w:lvlJc w:val="right"/>
      <w:pPr>
        <w:ind w:left="708"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CC37A6B"/>
    <w:multiLevelType w:val="hybridMultilevel"/>
    <w:tmpl w:val="016CF9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F4407"/>
    <w:multiLevelType w:val="hybridMultilevel"/>
    <w:tmpl w:val="06229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C9535A"/>
    <w:multiLevelType w:val="hybridMultilevel"/>
    <w:tmpl w:val="ECE2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747D55"/>
    <w:multiLevelType w:val="multilevel"/>
    <w:tmpl w:val="17F69ADE"/>
    <w:lvl w:ilvl="0">
      <w:start w:val="1"/>
      <w:numFmt w:val="lowerLetter"/>
      <w:lvlText w:val="%1)"/>
      <w:lvlJc w:val="left"/>
      <w:pPr>
        <w:tabs>
          <w:tab w:val="num" w:pos="644"/>
        </w:tabs>
        <w:ind w:left="644" w:hanging="360"/>
      </w:pPr>
      <w:rPr>
        <w:rFonts w:hint="default"/>
        <w:strike w:val="0"/>
        <w:color w:val="auto"/>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o"/>
      <w:lvlJc w:val="left"/>
      <w:pPr>
        <w:tabs>
          <w:tab w:val="num" w:pos="2367"/>
        </w:tabs>
        <w:ind w:left="2367" w:hanging="360"/>
      </w:pPr>
      <w:rPr>
        <w:rFonts w:ascii="Courier New" w:hAnsi="Courier New" w:hint="default"/>
        <w:sz w:val="20"/>
      </w:rPr>
    </w:lvl>
    <w:lvl w:ilvl="3" w:tentative="1">
      <w:start w:val="1"/>
      <w:numFmt w:val="bullet"/>
      <w:lvlText w:val="o"/>
      <w:lvlJc w:val="left"/>
      <w:pPr>
        <w:tabs>
          <w:tab w:val="num" w:pos="3087"/>
        </w:tabs>
        <w:ind w:left="3087" w:hanging="360"/>
      </w:pPr>
      <w:rPr>
        <w:rFonts w:ascii="Courier New" w:hAnsi="Courier New" w:hint="default"/>
        <w:sz w:val="20"/>
      </w:rPr>
    </w:lvl>
    <w:lvl w:ilvl="4" w:tentative="1">
      <w:start w:val="1"/>
      <w:numFmt w:val="bullet"/>
      <w:lvlText w:val="o"/>
      <w:lvlJc w:val="left"/>
      <w:pPr>
        <w:tabs>
          <w:tab w:val="num" w:pos="3807"/>
        </w:tabs>
        <w:ind w:left="3807" w:hanging="360"/>
      </w:pPr>
      <w:rPr>
        <w:rFonts w:ascii="Courier New" w:hAnsi="Courier New" w:hint="default"/>
        <w:sz w:val="20"/>
      </w:rPr>
    </w:lvl>
    <w:lvl w:ilvl="5" w:tentative="1">
      <w:start w:val="1"/>
      <w:numFmt w:val="bullet"/>
      <w:lvlText w:val="o"/>
      <w:lvlJc w:val="left"/>
      <w:pPr>
        <w:tabs>
          <w:tab w:val="num" w:pos="4527"/>
        </w:tabs>
        <w:ind w:left="4527" w:hanging="360"/>
      </w:pPr>
      <w:rPr>
        <w:rFonts w:ascii="Courier New" w:hAnsi="Courier New" w:hint="default"/>
        <w:sz w:val="20"/>
      </w:rPr>
    </w:lvl>
    <w:lvl w:ilvl="6" w:tentative="1">
      <w:start w:val="1"/>
      <w:numFmt w:val="bullet"/>
      <w:lvlText w:val="o"/>
      <w:lvlJc w:val="left"/>
      <w:pPr>
        <w:tabs>
          <w:tab w:val="num" w:pos="5247"/>
        </w:tabs>
        <w:ind w:left="5247" w:hanging="360"/>
      </w:pPr>
      <w:rPr>
        <w:rFonts w:ascii="Courier New" w:hAnsi="Courier New" w:hint="default"/>
        <w:sz w:val="20"/>
      </w:rPr>
    </w:lvl>
    <w:lvl w:ilvl="7" w:tentative="1">
      <w:start w:val="1"/>
      <w:numFmt w:val="bullet"/>
      <w:lvlText w:val="o"/>
      <w:lvlJc w:val="left"/>
      <w:pPr>
        <w:tabs>
          <w:tab w:val="num" w:pos="5967"/>
        </w:tabs>
        <w:ind w:left="5967" w:hanging="360"/>
      </w:pPr>
      <w:rPr>
        <w:rFonts w:ascii="Courier New" w:hAnsi="Courier New" w:hint="default"/>
        <w:sz w:val="20"/>
      </w:rPr>
    </w:lvl>
    <w:lvl w:ilvl="8" w:tentative="1">
      <w:start w:val="1"/>
      <w:numFmt w:val="bullet"/>
      <w:lvlText w:val="o"/>
      <w:lvlJc w:val="left"/>
      <w:pPr>
        <w:tabs>
          <w:tab w:val="num" w:pos="6687"/>
        </w:tabs>
        <w:ind w:left="6687" w:hanging="360"/>
      </w:pPr>
      <w:rPr>
        <w:rFonts w:ascii="Courier New" w:hAnsi="Courier New" w:hint="default"/>
        <w:sz w:val="20"/>
      </w:rPr>
    </w:lvl>
  </w:abstractNum>
  <w:abstractNum w:abstractNumId="34" w15:restartNumberingAfterBreak="0">
    <w:nsid w:val="70972F8E"/>
    <w:multiLevelType w:val="multilevel"/>
    <w:tmpl w:val="7FE26D40"/>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5A6215"/>
    <w:multiLevelType w:val="hybridMultilevel"/>
    <w:tmpl w:val="9BC8EC5C"/>
    <w:lvl w:ilvl="0" w:tplc="08A4F85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94910964">
    <w:abstractNumId w:val="16"/>
  </w:num>
  <w:num w:numId="2" w16cid:durableId="1729763671">
    <w:abstractNumId w:val="37"/>
  </w:num>
  <w:num w:numId="3" w16cid:durableId="349139199">
    <w:abstractNumId w:val="7"/>
  </w:num>
  <w:num w:numId="4" w16cid:durableId="97994184">
    <w:abstractNumId w:val="12"/>
  </w:num>
  <w:num w:numId="5" w16cid:durableId="1119447175">
    <w:abstractNumId w:val="35"/>
  </w:num>
  <w:num w:numId="6" w16cid:durableId="1975400726">
    <w:abstractNumId w:val="13"/>
  </w:num>
  <w:num w:numId="7" w16cid:durableId="991955720">
    <w:abstractNumId w:val="11"/>
  </w:num>
  <w:num w:numId="8" w16cid:durableId="625359087">
    <w:abstractNumId w:val="14"/>
  </w:num>
  <w:num w:numId="9" w16cid:durableId="1248809661">
    <w:abstractNumId w:val="15"/>
  </w:num>
  <w:num w:numId="10" w16cid:durableId="538396480">
    <w:abstractNumId w:val="24"/>
  </w:num>
  <w:num w:numId="11" w16cid:durableId="2102220614">
    <w:abstractNumId w:val="21"/>
  </w:num>
  <w:num w:numId="12" w16cid:durableId="1896043116">
    <w:abstractNumId w:val="0"/>
  </w:num>
  <w:num w:numId="13" w16cid:durableId="203637111">
    <w:abstractNumId w:val="2"/>
  </w:num>
  <w:num w:numId="14" w16cid:durableId="2061247658">
    <w:abstractNumId w:val="9"/>
  </w:num>
  <w:num w:numId="15" w16cid:durableId="111364219">
    <w:abstractNumId w:val="5"/>
  </w:num>
  <w:num w:numId="16" w16cid:durableId="406004498">
    <w:abstractNumId w:val="17"/>
  </w:num>
  <w:num w:numId="17" w16cid:durableId="1830555814">
    <w:abstractNumId w:val="19"/>
  </w:num>
  <w:num w:numId="18" w16cid:durableId="1483500841">
    <w:abstractNumId w:val="4"/>
  </w:num>
  <w:num w:numId="19" w16cid:durableId="682780388">
    <w:abstractNumId w:val="18"/>
  </w:num>
  <w:num w:numId="20" w16cid:durableId="48768552">
    <w:abstractNumId w:val="31"/>
  </w:num>
  <w:num w:numId="21" w16cid:durableId="395905913">
    <w:abstractNumId w:val="32"/>
  </w:num>
  <w:num w:numId="22" w16cid:durableId="1484003379">
    <w:abstractNumId w:val="3"/>
  </w:num>
  <w:num w:numId="23" w16cid:durableId="494149227">
    <w:abstractNumId w:val="6"/>
  </w:num>
  <w:num w:numId="24" w16cid:durableId="122768674">
    <w:abstractNumId w:val="8"/>
  </w:num>
  <w:num w:numId="25" w16cid:durableId="1874076224">
    <w:abstractNumId w:val="1"/>
  </w:num>
  <w:num w:numId="26" w16cid:durableId="1550923755">
    <w:abstractNumId w:val="27"/>
  </w:num>
  <w:num w:numId="27" w16cid:durableId="871071099">
    <w:abstractNumId w:val="28"/>
  </w:num>
  <w:num w:numId="28" w16cid:durableId="1561865924">
    <w:abstractNumId w:val="26"/>
  </w:num>
  <w:num w:numId="29" w16cid:durableId="1194266556">
    <w:abstractNumId w:val="23"/>
  </w:num>
  <w:num w:numId="30" w16cid:durableId="639503944">
    <w:abstractNumId w:val="25"/>
  </w:num>
  <w:num w:numId="31" w16cid:durableId="2033221334">
    <w:abstractNumId w:val="30"/>
  </w:num>
  <w:num w:numId="32" w16cid:durableId="1762023313">
    <w:abstractNumId w:val="36"/>
  </w:num>
  <w:num w:numId="33" w16cid:durableId="155194011">
    <w:abstractNumId w:val="10"/>
  </w:num>
  <w:num w:numId="34" w16cid:durableId="666901946">
    <w:abstractNumId w:val="33"/>
  </w:num>
  <w:num w:numId="35" w16cid:durableId="1021510647">
    <w:abstractNumId w:val="29"/>
  </w:num>
  <w:num w:numId="36" w16cid:durableId="696589869">
    <w:abstractNumId w:val="20"/>
  </w:num>
  <w:num w:numId="37" w16cid:durableId="1862283142">
    <w:abstractNumId w:val="34"/>
  </w:num>
  <w:num w:numId="38" w16cid:durableId="1833134828">
    <w:abstractNumId w:val="22"/>
  </w:num>
  <w:num w:numId="39" w16cid:durableId="146619194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F1"/>
    <w:rsid w:val="00000755"/>
    <w:rsid w:val="0000109A"/>
    <w:rsid w:val="00001AE6"/>
    <w:rsid w:val="00001D55"/>
    <w:rsid w:val="000031FA"/>
    <w:rsid w:val="000033C3"/>
    <w:rsid w:val="00003623"/>
    <w:rsid w:val="00003EB8"/>
    <w:rsid w:val="0000428D"/>
    <w:rsid w:val="00004D69"/>
    <w:rsid w:val="00004F7F"/>
    <w:rsid w:val="000054C9"/>
    <w:rsid w:val="00005B4E"/>
    <w:rsid w:val="00006C1A"/>
    <w:rsid w:val="00006D35"/>
    <w:rsid w:val="00007EAC"/>
    <w:rsid w:val="00010DD3"/>
    <w:rsid w:val="00010EA2"/>
    <w:rsid w:val="00011568"/>
    <w:rsid w:val="00011C1B"/>
    <w:rsid w:val="00011EA2"/>
    <w:rsid w:val="00012559"/>
    <w:rsid w:val="0001426F"/>
    <w:rsid w:val="00014974"/>
    <w:rsid w:val="0001499E"/>
    <w:rsid w:val="00015BF1"/>
    <w:rsid w:val="00016568"/>
    <w:rsid w:val="000168ED"/>
    <w:rsid w:val="00016E05"/>
    <w:rsid w:val="00017ABD"/>
    <w:rsid w:val="00020734"/>
    <w:rsid w:val="00020AEF"/>
    <w:rsid w:val="00021D9F"/>
    <w:rsid w:val="000226AD"/>
    <w:rsid w:val="000228B8"/>
    <w:rsid w:val="00022C32"/>
    <w:rsid w:val="0002352B"/>
    <w:rsid w:val="0002381B"/>
    <w:rsid w:val="00024EA5"/>
    <w:rsid w:val="00026A36"/>
    <w:rsid w:val="00026E95"/>
    <w:rsid w:val="0002724A"/>
    <w:rsid w:val="0002755F"/>
    <w:rsid w:val="000307E9"/>
    <w:rsid w:val="000309C6"/>
    <w:rsid w:val="000314A0"/>
    <w:rsid w:val="0003176A"/>
    <w:rsid w:val="00031CF6"/>
    <w:rsid w:val="00032F25"/>
    <w:rsid w:val="0003423A"/>
    <w:rsid w:val="00034618"/>
    <w:rsid w:val="0003477F"/>
    <w:rsid w:val="00035B59"/>
    <w:rsid w:val="00036AD8"/>
    <w:rsid w:val="00036D87"/>
    <w:rsid w:val="00037037"/>
    <w:rsid w:val="00037302"/>
    <w:rsid w:val="000374A4"/>
    <w:rsid w:val="00037A39"/>
    <w:rsid w:val="00037B43"/>
    <w:rsid w:val="0004005D"/>
    <w:rsid w:val="00040232"/>
    <w:rsid w:val="00040ADF"/>
    <w:rsid w:val="00040FB4"/>
    <w:rsid w:val="0004178C"/>
    <w:rsid w:val="00041E70"/>
    <w:rsid w:val="00041F5D"/>
    <w:rsid w:val="000443A6"/>
    <w:rsid w:val="000447C5"/>
    <w:rsid w:val="000449D1"/>
    <w:rsid w:val="00045737"/>
    <w:rsid w:val="00045B8D"/>
    <w:rsid w:val="00045CC5"/>
    <w:rsid w:val="00046B6A"/>
    <w:rsid w:val="000472D4"/>
    <w:rsid w:val="00050889"/>
    <w:rsid w:val="00050B51"/>
    <w:rsid w:val="00050FBA"/>
    <w:rsid w:val="00052277"/>
    <w:rsid w:val="000529B4"/>
    <w:rsid w:val="00052DB7"/>
    <w:rsid w:val="00052DD3"/>
    <w:rsid w:val="0005326D"/>
    <w:rsid w:val="00053F6C"/>
    <w:rsid w:val="00054427"/>
    <w:rsid w:val="0005478A"/>
    <w:rsid w:val="00055597"/>
    <w:rsid w:val="00056C80"/>
    <w:rsid w:val="00060100"/>
    <w:rsid w:val="000614D1"/>
    <w:rsid w:val="0006158F"/>
    <w:rsid w:val="000622E4"/>
    <w:rsid w:val="00062409"/>
    <w:rsid w:val="00062CB1"/>
    <w:rsid w:val="00062D0F"/>
    <w:rsid w:val="00063135"/>
    <w:rsid w:val="0006339C"/>
    <w:rsid w:val="00063A03"/>
    <w:rsid w:val="000642BF"/>
    <w:rsid w:val="00064783"/>
    <w:rsid w:val="000647C2"/>
    <w:rsid w:val="00064C5A"/>
    <w:rsid w:val="00064EF3"/>
    <w:rsid w:val="00065146"/>
    <w:rsid w:val="000668A2"/>
    <w:rsid w:val="00066B07"/>
    <w:rsid w:val="00066E07"/>
    <w:rsid w:val="00067266"/>
    <w:rsid w:val="00067AE6"/>
    <w:rsid w:val="0007021F"/>
    <w:rsid w:val="00070477"/>
    <w:rsid w:val="000709A0"/>
    <w:rsid w:val="00071A3D"/>
    <w:rsid w:val="00072931"/>
    <w:rsid w:val="00072B37"/>
    <w:rsid w:val="00072D76"/>
    <w:rsid w:val="00073029"/>
    <w:rsid w:val="00073B5F"/>
    <w:rsid w:val="0007414F"/>
    <w:rsid w:val="00074199"/>
    <w:rsid w:val="0007570E"/>
    <w:rsid w:val="00075AB0"/>
    <w:rsid w:val="00076399"/>
    <w:rsid w:val="00077A3B"/>
    <w:rsid w:val="00080241"/>
    <w:rsid w:val="00080C8A"/>
    <w:rsid w:val="00081580"/>
    <w:rsid w:val="00081610"/>
    <w:rsid w:val="00081714"/>
    <w:rsid w:val="00081778"/>
    <w:rsid w:val="000820E6"/>
    <w:rsid w:val="00082703"/>
    <w:rsid w:val="00083525"/>
    <w:rsid w:val="000835CC"/>
    <w:rsid w:val="000836C3"/>
    <w:rsid w:val="00083FA5"/>
    <w:rsid w:val="00085157"/>
    <w:rsid w:val="000869D9"/>
    <w:rsid w:val="00086C89"/>
    <w:rsid w:val="000870B6"/>
    <w:rsid w:val="000876D4"/>
    <w:rsid w:val="00087B2C"/>
    <w:rsid w:val="00090613"/>
    <w:rsid w:val="000906CF"/>
    <w:rsid w:val="00090769"/>
    <w:rsid w:val="00090BD1"/>
    <w:rsid w:val="000910C4"/>
    <w:rsid w:val="00091174"/>
    <w:rsid w:val="00091857"/>
    <w:rsid w:val="0009197F"/>
    <w:rsid w:val="00091C59"/>
    <w:rsid w:val="00092A21"/>
    <w:rsid w:val="00093528"/>
    <w:rsid w:val="000936FE"/>
    <w:rsid w:val="00093CA7"/>
    <w:rsid w:val="00093CE5"/>
    <w:rsid w:val="00093D9A"/>
    <w:rsid w:val="00094394"/>
    <w:rsid w:val="00094656"/>
    <w:rsid w:val="0009495B"/>
    <w:rsid w:val="00094EA5"/>
    <w:rsid w:val="00095D78"/>
    <w:rsid w:val="00096B52"/>
    <w:rsid w:val="000975BF"/>
    <w:rsid w:val="000A0DBB"/>
    <w:rsid w:val="000A10BF"/>
    <w:rsid w:val="000A2787"/>
    <w:rsid w:val="000A2ACD"/>
    <w:rsid w:val="000A2B65"/>
    <w:rsid w:val="000A2DA8"/>
    <w:rsid w:val="000A3A61"/>
    <w:rsid w:val="000A3CFE"/>
    <w:rsid w:val="000A4EEE"/>
    <w:rsid w:val="000A5C47"/>
    <w:rsid w:val="000A5CC8"/>
    <w:rsid w:val="000A629E"/>
    <w:rsid w:val="000A6850"/>
    <w:rsid w:val="000A6B30"/>
    <w:rsid w:val="000A7369"/>
    <w:rsid w:val="000A79A9"/>
    <w:rsid w:val="000B070A"/>
    <w:rsid w:val="000B0896"/>
    <w:rsid w:val="000B0B7D"/>
    <w:rsid w:val="000B149E"/>
    <w:rsid w:val="000B1DFB"/>
    <w:rsid w:val="000B22FE"/>
    <w:rsid w:val="000B2977"/>
    <w:rsid w:val="000B3330"/>
    <w:rsid w:val="000B4CF0"/>
    <w:rsid w:val="000B51DC"/>
    <w:rsid w:val="000B5A74"/>
    <w:rsid w:val="000B6961"/>
    <w:rsid w:val="000B6CF0"/>
    <w:rsid w:val="000B715B"/>
    <w:rsid w:val="000B720C"/>
    <w:rsid w:val="000B7468"/>
    <w:rsid w:val="000B7665"/>
    <w:rsid w:val="000C1C9B"/>
    <w:rsid w:val="000C1CD0"/>
    <w:rsid w:val="000C33B5"/>
    <w:rsid w:val="000C3877"/>
    <w:rsid w:val="000C433F"/>
    <w:rsid w:val="000C5280"/>
    <w:rsid w:val="000C6CD9"/>
    <w:rsid w:val="000C6F5A"/>
    <w:rsid w:val="000C7221"/>
    <w:rsid w:val="000C788A"/>
    <w:rsid w:val="000C7979"/>
    <w:rsid w:val="000C7C46"/>
    <w:rsid w:val="000D00C3"/>
    <w:rsid w:val="000D07C2"/>
    <w:rsid w:val="000D0FB4"/>
    <w:rsid w:val="000D1007"/>
    <w:rsid w:val="000D19E6"/>
    <w:rsid w:val="000D1B20"/>
    <w:rsid w:val="000D1B52"/>
    <w:rsid w:val="000D4487"/>
    <w:rsid w:val="000D4A92"/>
    <w:rsid w:val="000D4C1B"/>
    <w:rsid w:val="000D4E49"/>
    <w:rsid w:val="000D5439"/>
    <w:rsid w:val="000D5523"/>
    <w:rsid w:val="000D5D15"/>
    <w:rsid w:val="000D69E0"/>
    <w:rsid w:val="000E03DC"/>
    <w:rsid w:val="000E0FE4"/>
    <w:rsid w:val="000E1124"/>
    <w:rsid w:val="000E25B6"/>
    <w:rsid w:val="000E25D9"/>
    <w:rsid w:val="000E29BC"/>
    <w:rsid w:val="000E2BE3"/>
    <w:rsid w:val="000E3172"/>
    <w:rsid w:val="000E4951"/>
    <w:rsid w:val="000E4C06"/>
    <w:rsid w:val="000E5531"/>
    <w:rsid w:val="000E5B79"/>
    <w:rsid w:val="000E6410"/>
    <w:rsid w:val="000E6742"/>
    <w:rsid w:val="000E678B"/>
    <w:rsid w:val="000E71E8"/>
    <w:rsid w:val="000E798E"/>
    <w:rsid w:val="000F030A"/>
    <w:rsid w:val="000F0644"/>
    <w:rsid w:val="000F0DCF"/>
    <w:rsid w:val="000F1832"/>
    <w:rsid w:val="000F18CE"/>
    <w:rsid w:val="000F2067"/>
    <w:rsid w:val="000F21BD"/>
    <w:rsid w:val="000F287D"/>
    <w:rsid w:val="000F289D"/>
    <w:rsid w:val="000F2CAD"/>
    <w:rsid w:val="000F2D19"/>
    <w:rsid w:val="000F2E01"/>
    <w:rsid w:val="000F31F0"/>
    <w:rsid w:val="000F38C5"/>
    <w:rsid w:val="000F4545"/>
    <w:rsid w:val="000F4B41"/>
    <w:rsid w:val="000F5436"/>
    <w:rsid w:val="000F5A54"/>
    <w:rsid w:val="000F768D"/>
    <w:rsid w:val="000F7987"/>
    <w:rsid w:val="00100107"/>
    <w:rsid w:val="00100343"/>
    <w:rsid w:val="0010051C"/>
    <w:rsid w:val="00100971"/>
    <w:rsid w:val="0010107D"/>
    <w:rsid w:val="00102CDB"/>
    <w:rsid w:val="001034D2"/>
    <w:rsid w:val="00103515"/>
    <w:rsid w:val="00103CA7"/>
    <w:rsid w:val="0010448B"/>
    <w:rsid w:val="0010521F"/>
    <w:rsid w:val="001057C6"/>
    <w:rsid w:val="00105DA0"/>
    <w:rsid w:val="0010625A"/>
    <w:rsid w:val="00106504"/>
    <w:rsid w:val="00107524"/>
    <w:rsid w:val="00107DCD"/>
    <w:rsid w:val="00107EF0"/>
    <w:rsid w:val="00110CE8"/>
    <w:rsid w:val="001111A2"/>
    <w:rsid w:val="00111417"/>
    <w:rsid w:val="00111887"/>
    <w:rsid w:val="001123E5"/>
    <w:rsid w:val="00113C60"/>
    <w:rsid w:val="00114065"/>
    <w:rsid w:val="0011452A"/>
    <w:rsid w:val="00114B0E"/>
    <w:rsid w:val="00114C3B"/>
    <w:rsid w:val="00115691"/>
    <w:rsid w:val="00116122"/>
    <w:rsid w:val="00117039"/>
    <w:rsid w:val="00117F04"/>
    <w:rsid w:val="0012024F"/>
    <w:rsid w:val="00120BD3"/>
    <w:rsid w:val="00121202"/>
    <w:rsid w:val="00121505"/>
    <w:rsid w:val="00121787"/>
    <w:rsid w:val="00122AE3"/>
    <w:rsid w:val="00122EE1"/>
    <w:rsid w:val="00123658"/>
    <w:rsid w:val="001237AF"/>
    <w:rsid w:val="00123916"/>
    <w:rsid w:val="001247EB"/>
    <w:rsid w:val="00124A04"/>
    <w:rsid w:val="00124F3C"/>
    <w:rsid w:val="00124FF8"/>
    <w:rsid w:val="00125B61"/>
    <w:rsid w:val="00126065"/>
    <w:rsid w:val="00126122"/>
    <w:rsid w:val="0012616A"/>
    <w:rsid w:val="0013033B"/>
    <w:rsid w:val="00130E82"/>
    <w:rsid w:val="001312A7"/>
    <w:rsid w:val="001315B8"/>
    <w:rsid w:val="00131D45"/>
    <w:rsid w:val="00131EE7"/>
    <w:rsid w:val="001320F0"/>
    <w:rsid w:val="00133526"/>
    <w:rsid w:val="001336E0"/>
    <w:rsid w:val="00133E47"/>
    <w:rsid w:val="00133F34"/>
    <w:rsid w:val="001347D4"/>
    <w:rsid w:val="00135273"/>
    <w:rsid w:val="0013551B"/>
    <w:rsid w:val="00135C3E"/>
    <w:rsid w:val="00135FC9"/>
    <w:rsid w:val="00136A35"/>
    <w:rsid w:val="00137FC7"/>
    <w:rsid w:val="00141DA7"/>
    <w:rsid w:val="00142A84"/>
    <w:rsid w:val="0014329C"/>
    <w:rsid w:val="0014346E"/>
    <w:rsid w:val="00143478"/>
    <w:rsid w:val="00143F2F"/>
    <w:rsid w:val="00144224"/>
    <w:rsid w:val="001444BF"/>
    <w:rsid w:val="00145432"/>
    <w:rsid w:val="0014599E"/>
    <w:rsid w:val="001463DC"/>
    <w:rsid w:val="00146624"/>
    <w:rsid w:val="0014766E"/>
    <w:rsid w:val="001502F5"/>
    <w:rsid w:val="00150376"/>
    <w:rsid w:val="001505D3"/>
    <w:rsid w:val="001513D9"/>
    <w:rsid w:val="00151DBD"/>
    <w:rsid w:val="001523BF"/>
    <w:rsid w:val="001531D6"/>
    <w:rsid w:val="00153F48"/>
    <w:rsid w:val="00154FD5"/>
    <w:rsid w:val="00155253"/>
    <w:rsid w:val="00155434"/>
    <w:rsid w:val="001556E3"/>
    <w:rsid w:val="001559E2"/>
    <w:rsid w:val="001559FE"/>
    <w:rsid w:val="00155BDA"/>
    <w:rsid w:val="00156C21"/>
    <w:rsid w:val="00156FA7"/>
    <w:rsid w:val="00157ED3"/>
    <w:rsid w:val="00157F4F"/>
    <w:rsid w:val="0016023A"/>
    <w:rsid w:val="0016137C"/>
    <w:rsid w:val="00161755"/>
    <w:rsid w:val="00161870"/>
    <w:rsid w:val="00161EDA"/>
    <w:rsid w:val="00161F44"/>
    <w:rsid w:val="00162DBF"/>
    <w:rsid w:val="00162FF3"/>
    <w:rsid w:val="001636AD"/>
    <w:rsid w:val="00164C42"/>
    <w:rsid w:val="00164CF8"/>
    <w:rsid w:val="001653AE"/>
    <w:rsid w:val="00165628"/>
    <w:rsid w:val="0016604D"/>
    <w:rsid w:val="0016626C"/>
    <w:rsid w:val="00166A9B"/>
    <w:rsid w:val="00166D90"/>
    <w:rsid w:val="00166F28"/>
    <w:rsid w:val="0016729E"/>
    <w:rsid w:val="00170D5B"/>
    <w:rsid w:val="00172B8F"/>
    <w:rsid w:val="00173268"/>
    <w:rsid w:val="00173418"/>
    <w:rsid w:val="001736F8"/>
    <w:rsid w:val="00173D85"/>
    <w:rsid w:val="00174373"/>
    <w:rsid w:val="00174FD4"/>
    <w:rsid w:val="00182890"/>
    <w:rsid w:val="00184A9D"/>
    <w:rsid w:val="00184BAE"/>
    <w:rsid w:val="00185D1B"/>
    <w:rsid w:val="00186050"/>
    <w:rsid w:val="0018740A"/>
    <w:rsid w:val="00187D49"/>
    <w:rsid w:val="0019058B"/>
    <w:rsid w:val="001905BB"/>
    <w:rsid w:val="001914BB"/>
    <w:rsid w:val="001916C8"/>
    <w:rsid w:val="0019362A"/>
    <w:rsid w:val="00193792"/>
    <w:rsid w:val="0019474E"/>
    <w:rsid w:val="001951D6"/>
    <w:rsid w:val="001955AB"/>
    <w:rsid w:val="00195728"/>
    <w:rsid w:val="00195BDC"/>
    <w:rsid w:val="00195F3C"/>
    <w:rsid w:val="00196D0F"/>
    <w:rsid w:val="001970C0"/>
    <w:rsid w:val="00197786"/>
    <w:rsid w:val="00197BFD"/>
    <w:rsid w:val="001A1BD9"/>
    <w:rsid w:val="001A1CB7"/>
    <w:rsid w:val="001A299E"/>
    <w:rsid w:val="001A420B"/>
    <w:rsid w:val="001A4B97"/>
    <w:rsid w:val="001A4F7D"/>
    <w:rsid w:val="001A644C"/>
    <w:rsid w:val="001A6496"/>
    <w:rsid w:val="001A69ED"/>
    <w:rsid w:val="001A7339"/>
    <w:rsid w:val="001A79E9"/>
    <w:rsid w:val="001A7B42"/>
    <w:rsid w:val="001A7D8F"/>
    <w:rsid w:val="001B0304"/>
    <w:rsid w:val="001B2A97"/>
    <w:rsid w:val="001B2CD4"/>
    <w:rsid w:val="001B3295"/>
    <w:rsid w:val="001B35F5"/>
    <w:rsid w:val="001B3774"/>
    <w:rsid w:val="001B3DEF"/>
    <w:rsid w:val="001B3FFE"/>
    <w:rsid w:val="001B4C69"/>
    <w:rsid w:val="001B4D93"/>
    <w:rsid w:val="001B5F53"/>
    <w:rsid w:val="001B6694"/>
    <w:rsid w:val="001B71CD"/>
    <w:rsid w:val="001B7329"/>
    <w:rsid w:val="001B76E4"/>
    <w:rsid w:val="001B7F27"/>
    <w:rsid w:val="001C03C8"/>
    <w:rsid w:val="001C0E58"/>
    <w:rsid w:val="001C16E8"/>
    <w:rsid w:val="001C174A"/>
    <w:rsid w:val="001C1D05"/>
    <w:rsid w:val="001C231A"/>
    <w:rsid w:val="001C2A48"/>
    <w:rsid w:val="001C2CA3"/>
    <w:rsid w:val="001C36CC"/>
    <w:rsid w:val="001C57E0"/>
    <w:rsid w:val="001C6935"/>
    <w:rsid w:val="001C69E3"/>
    <w:rsid w:val="001C6DFB"/>
    <w:rsid w:val="001C6DFD"/>
    <w:rsid w:val="001C7CD3"/>
    <w:rsid w:val="001C7FDF"/>
    <w:rsid w:val="001C7FEF"/>
    <w:rsid w:val="001D0EAE"/>
    <w:rsid w:val="001D148C"/>
    <w:rsid w:val="001D171E"/>
    <w:rsid w:val="001D1E34"/>
    <w:rsid w:val="001D2617"/>
    <w:rsid w:val="001D32C0"/>
    <w:rsid w:val="001D3951"/>
    <w:rsid w:val="001D3A64"/>
    <w:rsid w:val="001D402E"/>
    <w:rsid w:val="001D5793"/>
    <w:rsid w:val="001D5D8E"/>
    <w:rsid w:val="001D638C"/>
    <w:rsid w:val="001D74A7"/>
    <w:rsid w:val="001D75C6"/>
    <w:rsid w:val="001D7D85"/>
    <w:rsid w:val="001E0190"/>
    <w:rsid w:val="001E0788"/>
    <w:rsid w:val="001E0E36"/>
    <w:rsid w:val="001E15F2"/>
    <w:rsid w:val="001E22F7"/>
    <w:rsid w:val="001E465F"/>
    <w:rsid w:val="001E50BE"/>
    <w:rsid w:val="001E5702"/>
    <w:rsid w:val="001E57E9"/>
    <w:rsid w:val="001E63C5"/>
    <w:rsid w:val="001F0984"/>
    <w:rsid w:val="001F1984"/>
    <w:rsid w:val="001F1D07"/>
    <w:rsid w:val="001F1E8C"/>
    <w:rsid w:val="001F204F"/>
    <w:rsid w:val="001F2902"/>
    <w:rsid w:val="001F2CAC"/>
    <w:rsid w:val="001F393C"/>
    <w:rsid w:val="001F3F36"/>
    <w:rsid w:val="001F4587"/>
    <w:rsid w:val="001F4E13"/>
    <w:rsid w:val="001F5D4F"/>
    <w:rsid w:val="001F6199"/>
    <w:rsid w:val="001F658C"/>
    <w:rsid w:val="001F6741"/>
    <w:rsid w:val="001F675C"/>
    <w:rsid w:val="001F6F44"/>
    <w:rsid w:val="001F72DB"/>
    <w:rsid w:val="001F7563"/>
    <w:rsid w:val="00200DA9"/>
    <w:rsid w:val="002011B4"/>
    <w:rsid w:val="00201207"/>
    <w:rsid w:val="00202A97"/>
    <w:rsid w:val="00202DC6"/>
    <w:rsid w:val="00203293"/>
    <w:rsid w:val="00204535"/>
    <w:rsid w:val="00204C3B"/>
    <w:rsid w:val="0020556B"/>
    <w:rsid w:val="002059D9"/>
    <w:rsid w:val="00206290"/>
    <w:rsid w:val="00206A53"/>
    <w:rsid w:val="00207738"/>
    <w:rsid w:val="00207871"/>
    <w:rsid w:val="002078E1"/>
    <w:rsid w:val="00207ED9"/>
    <w:rsid w:val="00207F59"/>
    <w:rsid w:val="00210DDC"/>
    <w:rsid w:val="00211DC3"/>
    <w:rsid w:val="0021209F"/>
    <w:rsid w:val="002120B0"/>
    <w:rsid w:val="002126D0"/>
    <w:rsid w:val="00212F36"/>
    <w:rsid w:val="002135D5"/>
    <w:rsid w:val="00214833"/>
    <w:rsid w:val="00214F52"/>
    <w:rsid w:val="002155B6"/>
    <w:rsid w:val="002157E4"/>
    <w:rsid w:val="00215886"/>
    <w:rsid w:val="00215AFB"/>
    <w:rsid w:val="00215B12"/>
    <w:rsid w:val="00215DEA"/>
    <w:rsid w:val="00215E79"/>
    <w:rsid w:val="00216037"/>
    <w:rsid w:val="00216A1F"/>
    <w:rsid w:val="0021706D"/>
    <w:rsid w:val="00217957"/>
    <w:rsid w:val="00217A58"/>
    <w:rsid w:val="00217AA4"/>
    <w:rsid w:val="002200D8"/>
    <w:rsid w:val="00220A64"/>
    <w:rsid w:val="00220CFD"/>
    <w:rsid w:val="00220FB1"/>
    <w:rsid w:val="00222368"/>
    <w:rsid w:val="00223664"/>
    <w:rsid w:val="00223A56"/>
    <w:rsid w:val="00224B1B"/>
    <w:rsid w:val="002251E3"/>
    <w:rsid w:val="002255AE"/>
    <w:rsid w:val="00225833"/>
    <w:rsid w:val="00225D3F"/>
    <w:rsid w:val="00226095"/>
    <w:rsid w:val="00227B89"/>
    <w:rsid w:val="00227F43"/>
    <w:rsid w:val="00230390"/>
    <w:rsid w:val="00230822"/>
    <w:rsid w:val="00230B06"/>
    <w:rsid w:val="002337D5"/>
    <w:rsid w:val="00234640"/>
    <w:rsid w:val="00234BF1"/>
    <w:rsid w:val="00234C2F"/>
    <w:rsid w:val="00234DA5"/>
    <w:rsid w:val="00235F94"/>
    <w:rsid w:val="002367E2"/>
    <w:rsid w:val="00236E31"/>
    <w:rsid w:val="00237068"/>
    <w:rsid w:val="0023751A"/>
    <w:rsid w:val="00237AC8"/>
    <w:rsid w:val="00240106"/>
    <w:rsid w:val="002411C7"/>
    <w:rsid w:val="002418EA"/>
    <w:rsid w:val="00241D84"/>
    <w:rsid w:val="00242E2F"/>
    <w:rsid w:val="00242F4E"/>
    <w:rsid w:val="0024363B"/>
    <w:rsid w:val="00244B36"/>
    <w:rsid w:val="00245259"/>
    <w:rsid w:val="002452A0"/>
    <w:rsid w:val="00245E51"/>
    <w:rsid w:val="002463A6"/>
    <w:rsid w:val="00246ADB"/>
    <w:rsid w:val="00246F2B"/>
    <w:rsid w:val="002471FE"/>
    <w:rsid w:val="00250009"/>
    <w:rsid w:val="002508FC"/>
    <w:rsid w:val="00250CA3"/>
    <w:rsid w:val="002517A5"/>
    <w:rsid w:val="0025197A"/>
    <w:rsid w:val="00251B48"/>
    <w:rsid w:val="00251F6C"/>
    <w:rsid w:val="0025249C"/>
    <w:rsid w:val="00252ACE"/>
    <w:rsid w:val="00253175"/>
    <w:rsid w:val="002535F3"/>
    <w:rsid w:val="002539ED"/>
    <w:rsid w:val="0025440D"/>
    <w:rsid w:val="0025450E"/>
    <w:rsid w:val="00254699"/>
    <w:rsid w:val="00255152"/>
    <w:rsid w:val="0025554E"/>
    <w:rsid w:val="00256591"/>
    <w:rsid w:val="00257C5A"/>
    <w:rsid w:val="002611BA"/>
    <w:rsid w:val="0026155F"/>
    <w:rsid w:val="002618F5"/>
    <w:rsid w:val="002624EF"/>
    <w:rsid w:val="00262B57"/>
    <w:rsid w:val="00263312"/>
    <w:rsid w:val="002638F4"/>
    <w:rsid w:val="00265559"/>
    <w:rsid w:val="0026555F"/>
    <w:rsid w:val="002657FC"/>
    <w:rsid w:val="00266210"/>
    <w:rsid w:val="00266A3B"/>
    <w:rsid w:val="002675C8"/>
    <w:rsid w:val="00270719"/>
    <w:rsid w:val="00270EF7"/>
    <w:rsid w:val="00270FA1"/>
    <w:rsid w:val="0027116A"/>
    <w:rsid w:val="0027159B"/>
    <w:rsid w:val="0027160C"/>
    <w:rsid w:val="002745A7"/>
    <w:rsid w:val="002751D1"/>
    <w:rsid w:val="00275209"/>
    <w:rsid w:val="0028298D"/>
    <w:rsid w:val="00284340"/>
    <w:rsid w:val="002848C7"/>
    <w:rsid w:val="002848EA"/>
    <w:rsid w:val="002858CA"/>
    <w:rsid w:val="0028595A"/>
    <w:rsid w:val="00287E78"/>
    <w:rsid w:val="00290676"/>
    <w:rsid w:val="00291462"/>
    <w:rsid w:val="002914D5"/>
    <w:rsid w:val="00291572"/>
    <w:rsid w:val="00291D0A"/>
    <w:rsid w:val="0029239A"/>
    <w:rsid w:val="002926FB"/>
    <w:rsid w:val="002931A1"/>
    <w:rsid w:val="00294EA5"/>
    <w:rsid w:val="00296206"/>
    <w:rsid w:val="002966A6"/>
    <w:rsid w:val="00297044"/>
    <w:rsid w:val="002973AE"/>
    <w:rsid w:val="00297683"/>
    <w:rsid w:val="002A04B4"/>
    <w:rsid w:val="002A0577"/>
    <w:rsid w:val="002A058F"/>
    <w:rsid w:val="002A145B"/>
    <w:rsid w:val="002A16E1"/>
    <w:rsid w:val="002A18BE"/>
    <w:rsid w:val="002A1A32"/>
    <w:rsid w:val="002A22B4"/>
    <w:rsid w:val="002A23AB"/>
    <w:rsid w:val="002A36F6"/>
    <w:rsid w:val="002A4084"/>
    <w:rsid w:val="002A40B0"/>
    <w:rsid w:val="002A4AD6"/>
    <w:rsid w:val="002A5B37"/>
    <w:rsid w:val="002A61A1"/>
    <w:rsid w:val="002A6966"/>
    <w:rsid w:val="002A6C6F"/>
    <w:rsid w:val="002A7196"/>
    <w:rsid w:val="002A76AE"/>
    <w:rsid w:val="002B044F"/>
    <w:rsid w:val="002B05A3"/>
    <w:rsid w:val="002B0FFC"/>
    <w:rsid w:val="002B1384"/>
    <w:rsid w:val="002B1D2C"/>
    <w:rsid w:val="002B1E45"/>
    <w:rsid w:val="002B242B"/>
    <w:rsid w:val="002B3681"/>
    <w:rsid w:val="002B400D"/>
    <w:rsid w:val="002B4311"/>
    <w:rsid w:val="002B46E5"/>
    <w:rsid w:val="002B4796"/>
    <w:rsid w:val="002B4829"/>
    <w:rsid w:val="002B5551"/>
    <w:rsid w:val="002B5A80"/>
    <w:rsid w:val="002B5BC0"/>
    <w:rsid w:val="002B5D90"/>
    <w:rsid w:val="002B667C"/>
    <w:rsid w:val="002C11CA"/>
    <w:rsid w:val="002C238B"/>
    <w:rsid w:val="002C27E3"/>
    <w:rsid w:val="002C3146"/>
    <w:rsid w:val="002C4435"/>
    <w:rsid w:val="002C45E8"/>
    <w:rsid w:val="002C614E"/>
    <w:rsid w:val="002C636D"/>
    <w:rsid w:val="002C70CE"/>
    <w:rsid w:val="002C7541"/>
    <w:rsid w:val="002D1010"/>
    <w:rsid w:val="002D1C72"/>
    <w:rsid w:val="002D1EC0"/>
    <w:rsid w:val="002D2785"/>
    <w:rsid w:val="002D2BD0"/>
    <w:rsid w:val="002D3A20"/>
    <w:rsid w:val="002D5036"/>
    <w:rsid w:val="002D5097"/>
    <w:rsid w:val="002D5173"/>
    <w:rsid w:val="002D55E4"/>
    <w:rsid w:val="002D59D0"/>
    <w:rsid w:val="002D5CD3"/>
    <w:rsid w:val="002D5FA7"/>
    <w:rsid w:val="002D688E"/>
    <w:rsid w:val="002D690D"/>
    <w:rsid w:val="002D6AA9"/>
    <w:rsid w:val="002D75F0"/>
    <w:rsid w:val="002D7FE7"/>
    <w:rsid w:val="002E03EC"/>
    <w:rsid w:val="002E05E5"/>
    <w:rsid w:val="002E0A0C"/>
    <w:rsid w:val="002E0CE8"/>
    <w:rsid w:val="002E0F9A"/>
    <w:rsid w:val="002E1516"/>
    <w:rsid w:val="002E2620"/>
    <w:rsid w:val="002E29CD"/>
    <w:rsid w:val="002E2E68"/>
    <w:rsid w:val="002E5B17"/>
    <w:rsid w:val="002E5BC1"/>
    <w:rsid w:val="002E622E"/>
    <w:rsid w:val="002E63BE"/>
    <w:rsid w:val="002E66A8"/>
    <w:rsid w:val="002E7181"/>
    <w:rsid w:val="002E7576"/>
    <w:rsid w:val="002E7775"/>
    <w:rsid w:val="002E7996"/>
    <w:rsid w:val="002E7AD2"/>
    <w:rsid w:val="002E7CF6"/>
    <w:rsid w:val="002E7DA2"/>
    <w:rsid w:val="002F04E6"/>
    <w:rsid w:val="002F0790"/>
    <w:rsid w:val="002F091C"/>
    <w:rsid w:val="002F1336"/>
    <w:rsid w:val="002F1399"/>
    <w:rsid w:val="002F1FCE"/>
    <w:rsid w:val="002F26E4"/>
    <w:rsid w:val="002F2CD1"/>
    <w:rsid w:val="002F32FB"/>
    <w:rsid w:val="002F4268"/>
    <w:rsid w:val="002F4B66"/>
    <w:rsid w:val="002F5611"/>
    <w:rsid w:val="002F5D23"/>
    <w:rsid w:val="002F5F5E"/>
    <w:rsid w:val="002F5F85"/>
    <w:rsid w:val="002F6072"/>
    <w:rsid w:val="002F693F"/>
    <w:rsid w:val="002F6B3A"/>
    <w:rsid w:val="00300498"/>
    <w:rsid w:val="00300848"/>
    <w:rsid w:val="003008CC"/>
    <w:rsid w:val="00300B13"/>
    <w:rsid w:val="00301763"/>
    <w:rsid w:val="00301B82"/>
    <w:rsid w:val="00301E30"/>
    <w:rsid w:val="00302252"/>
    <w:rsid w:val="00302518"/>
    <w:rsid w:val="0030272E"/>
    <w:rsid w:val="00303970"/>
    <w:rsid w:val="00303C60"/>
    <w:rsid w:val="00303CDC"/>
    <w:rsid w:val="00303CEE"/>
    <w:rsid w:val="00303F0B"/>
    <w:rsid w:val="00304E60"/>
    <w:rsid w:val="00304FB8"/>
    <w:rsid w:val="00305183"/>
    <w:rsid w:val="00305B34"/>
    <w:rsid w:val="00306C37"/>
    <w:rsid w:val="00307299"/>
    <w:rsid w:val="0030786B"/>
    <w:rsid w:val="003107BD"/>
    <w:rsid w:val="00310B17"/>
    <w:rsid w:val="00310B9B"/>
    <w:rsid w:val="00310BB9"/>
    <w:rsid w:val="00310C3F"/>
    <w:rsid w:val="0031141C"/>
    <w:rsid w:val="003129B1"/>
    <w:rsid w:val="0031315F"/>
    <w:rsid w:val="0031349E"/>
    <w:rsid w:val="00313CF3"/>
    <w:rsid w:val="00313F0D"/>
    <w:rsid w:val="003140D2"/>
    <w:rsid w:val="00314E7F"/>
    <w:rsid w:val="00314F23"/>
    <w:rsid w:val="00315060"/>
    <w:rsid w:val="00316F2F"/>
    <w:rsid w:val="003171D9"/>
    <w:rsid w:val="00317450"/>
    <w:rsid w:val="00317714"/>
    <w:rsid w:val="00317CC1"/>
    <w:rsid w:val="00320A17"/>
    <w:rsid w:val="003224A9"/>
    <w:rsid w:val="003226BB"/>
    <w:rsid w:val="00322D31"/>
    <w:rsid w:val="00322DA9"/>
    <w:rsid w:val="00323AF6"/>
    <w:rsid w:val="00324A9C"/>
    <w:rsid w:val="00324BBE"/>
    <w:rsid w:val="003251C2"/>
    <w:rsid w:val="003257DA"/>
    <w:rsid w:val="00325AA5"/>
    <w:rsid w:val="00325DE1"/>
    <w:rsid w:val="00325FA0"/>
    <w:rsid w:val="003264F7"/>
    <w:rsid w:val="00326D0D"/>
    <w:rsid w:val="00326EC9"/>
    <w:rsid w:val="00326F1C"/>
    <w:rsid w:val="00327162"/>
    <w:rsid w:val="00327D7D"/>
    <w:rsid w:val="00330A0A"/>
    <w:rsid w:val="00330BDE"/>
    <w:rsid w:val="0033139C"/>
    <w:rsid w:val="00331B83"/>
    <w:rsid w:val="00331D11"/>
    <w:rsid w:val="00331D69"/>
    <w:rsid w:val="00331E9D"/>
    <w:rsid w:val="003323D9"/>
    <w:rsid w:val="003328A9"/>
    <w:rsid w:val="003331A8"/>
    <w:rsid w:val="003349FF"/>
    <w:rsid w:val="0033517B"/>
    <w:rsid w:val="00335562"/>
    <w:rsid w:val="0033570D"/>
    <w:rsid w:val="00335FC3"/>
    <w:rsid w:val="00336409"/>
    <w:rsid w:val="0033688F"/>
    <w:rsid w:val="00336EFE"/>
    <w:rsid w:val="0033714F"/>
    <w:rsid w:val="003371B5"/>
    <w:rsid w:val="00337669"/>
    <w:rsid w:val="00337BAF"/>
    <w:rsid w:val="00340341"/>
    <w:rsid w:val="003412F2"/>
    <w:rsid w:val="003417CB"/>
    <w:rsid w:val="00341FE8"/>
    <w:rsid w:val="00342066"/>
    <w:rsid w:val="003435A9"/>
    <w:rsid w:val="00343639"/>
    <w:rsid w:val="00343B06"/>
    <w:rsid w:val="00343F4F"/>
    <w:rsid w:val="0034422A"/>
    <w:rsid w:val="003445B6"/>
    <w:rsid w:val="00344649"/>
    <w:rsid w:val="00344A32"/>
    <w:rsid w:val="00344C2F"/>
    <w:rsid w:val="00345496"/>
    <w:rsid w:val="00345BCF"/>
    <w:rsid w:val="003466F9"/>
    <w:rsid w:val="00347A34"/>
    <w:rsid w:val="00347A6B"/>
    <w:rsid w:val="00350092"/>
    <w:rsid w:val="00350C4A"/>
    <w:rsid w:val="00351114"/>
    <w:rsid w:val="003519AD"/>
    <w:rsid w:val="00351E0E"/>
    <w:rsid w:val="0035293C"/>
    <w:rsid w:val="00352A18"/>
    <w:rsid w:val="00354EB4"/>
    <w:rsid w:val="00354F74"/>
    <w:rsid w:val="003550DA"/>
    <w:rsid w:val="0035562A"/>
    <w:rsid w:val="00355AF1"/>
    <w:rsid w:val="00356D29"/>
    <w:rsid w:val="00356D33"/>
    <w:rsid w:val="003571C2"/>
    <w:rsid w:val="00357A0A"/>
    <w:rsid w:val="00357B5D"/>
    <w:rsid w:val="00357ECC"/>
    <w:rsid w:val="003603F7"/>
    <w:rsid w:val="003607FA"/>
    <w:rsid w:val="00361318"/>
    <w:rsid w:val="003617A2"/>
    <w:rsid w:val="003626C2"/>
    <w:rsid w:val="0036309B"/>
    <w:rsid w:val="00363C32"/>
    <w:rsid w:val="003640A7"/>
    <w:rsid w:val="00364211"/>
    <w:rsid w:val="00364AD9"/>
    <w:rsid w:val="00364FAE"/>
    <w:rsid w:val="00365447"/>
    <w:rsid w:val="0036794E"/>
    <w:rsid w:val="00367B99"/>
    <w:rsid w:val="00367D87"/>
    <w:rsid w:val="00370060"/>
    <w:rsid w:val="003703E9"/>
    <w:rsid w:val="003705A7"/>
    <w:rsid w:val="00370BF3"/>
    <w:rsid w:val="00370D84"/>
    <w:rsid w:val="00370FB6"/>
    <w:rsid w:val="003715C5"/>
    <w:rsid w:val="00371AE6"/>
    <w:rsid w:val="00371D73"/>
    <w:rsid w:val="00372327"/>
    <w:rsid w:val="0037235B"/>
    <w:rsid w:val="003728B7"/>
    <w:rsid w:val="00373B14"/>
    <w:rsid w:val="00373D35"/>
    <w:rsid w:val="00374E2D"/>
    <w:rsid w:val="0037746F"/>
    <w:rsid w:val="0038146C"/>
    <w:rsid w:val="0038176D"/>
    <w:rsid w:val="00381AF4"/>
    <w:rsid w:val="00382035"/>
    <w:rsid w:val="00382609"/>
    <w:rsid w:val="00385CF5"/>
    <w:rsid w:val="00386124"/>
    <w:rsid w:val="003864D5"/>
    <w:rsid w:val="003868A4"/>
    <w:rsid w:val="00386FCD"/>
    <w:rsid w:val="0038773D"/>
    <w:rsid w:val="0039020D"/>
    <w:rsid w:val="00390567"/>
    <w:rsid w:val="00391967"/>
    <w:rsid w:val="00391E4B"/>
    <w:rsid w:val="00392AD1"/>
    <w:rsid w:val="0039350B"/>
    <w:rsid w:val="00393C3F"/>
    <w:rsid w:val="0039423C"/>
    <w:rsid w:val="00394278"/>
    <w:rsid w:val="00394705"/>
    <w:rsid w:val="003966F6"/>
    <w:rsid w:val="0039677D"/>
    <w:rsid w:val="0039722A"/>
    <w:rsid w:val="00397A61"/>
    <w:rsid w:val="003A0660"/>
    <w:rsid w:val="003A0D52"/>
    <w:rsid w:val="003A13D8"/>
    <w:rsid w:val="003A1BB0"/>
    <w:rsid w:val="003A1C90"/>
    <w:rsid w:val="003A215F"/>
    <w:rsid w:val="003A2B26"/>
    <w:rsid w:val="003A2ED1"/>
    <w:rsid w:val="003A3E9E"/>
    <w:rsid w:val="003A47AB"/>
    <w:rsid w:val="003A4C47"/>
    <w:rsid w:val="003A6724"/>
    <w:rsid w:val="003A6E1A"/>
    <w:rsid w:val="003A6F09"/>
    <w:rsid w:val="003A71D3"/>
    <w:rsid w:val="003B06E9"/>
    <w:rsid w:val="003B0BA1"/>
    <w:rsid w:val="003B0FDD"/>
    <w:rsid w:val="003B11AD"/>
    <w:rsid w:val="003B2434"/>
    <w:rsid w:val="003B2907"/>
    <w:rsid w:val="003B3712"/>
    <w:rsid w:val="003B4249"/>
    <w:rsid w:val="003B4599"/>
    <w:rsid w:val="003B4BCB"/>
    <w:rsid w:val="003B4EA2"/>
    <w:rsid w:val="003B4F4E"/>
    <w:rsid w:val="003B5E37"/>
    <w:rsid w:val="003B61B7"/>
    <w:rsid w:val="003B7195"/>
    <w:rsid w:val="003B75CF"/>
    <w:rsid w:val="003B7C59"/>
    <w:rsid w:val="003B7CD1"/>
    <w:rsid w:val="003C0137"/>
    <w:rsid w:val="003C1562"/>
    <w:rsid w:val="003C17FC"/>
    <w:rsid w:val="003C1AE2"/>
    <w:rsid w:val="003C253C"/>
    <w:rsid w:val="003C303F"/>
    <w:rsid w:val="003C3902"/>
    <w:rsid w:val="003C40DE"/>
    <w:rsid w:val="003C4F8F"/>
    <w:rsid w:val="003C5EF8"/>
    <w:rsid w:val="003C6B59"/>
    <w:rsid w:val="003C7543"/>
    <w:rsid w:val="003D083B"/>
    <w:rsid w:val="003D1100"/>
    <w:rsid w:val="003D1A32"/>
    <w:rsid w:val="003D1FA2"/>
    <w:rsid w:val="003D2093"/>
    <w:rsid w:val="003D22B7"/>
    <w:rsid w:val="003D299E"/>
    <w:rsid w:val="003D4801"/>
    <w:rsid w:val="003D4CFD"/>
    <w:rsid w:val="003D4F61"/>
    <w:rsid w:val="003D55E1"/>
    <w:rsid w:val="003D5F93"/>
    <w:rsid w:val="003D641A"/>
    <w:rsid w:val="003D6688"/>
    <w:rsid w:val="003D690D"/>
    <w:rsid w:val="003D6F20"/>
    <w:rsid w:val="003D71EB"/>
    <w:rsid w:val="003D7338"/>
    <w:rsid w:val="003D7965"/>
    <w:rsid w:val="003D7C4B"/>
    <w:rsid w:val="003E0D0F"/>
    <w:rsid w:val="003E1670"/>
    <w:rsid w:val="003E1E39"/>
    <w:rsid w:val="003E22CB"/>
    <w:rsid w:val="003E2343"/>
    <w:rsid w:val="003E38DB"/>
    <w:rsid w:val="003E399E"/>
    <w:rsid w:val="003E406B"/>
    <w:rsid w:val="003E4220"/>
    <w:rsid w:val="003E4F96"/>
    <w:rsid w:val="003E5CCA"/>
    <w:rsid w:val="003E5EED"/>
    <w:rsid w:val="003E608D"/>
    <w:rsid w:val="003E60AE"/>
    <w:rsid w:val="003E68DC"/>
    <w:rsid w:val="003E7345"/>
    <w:rsid w:val="003E7773"/>
    <w:rsid w:val="003E7D10"/>
    <w:rsid w:val="003F012B"/>
    <w:rsid w:val="003F0934"/>
    <w:rsid w:val="003F115E"/>
    <w:rsid w:val="003F14C2"/>
    <w:rsid w:val="003F1A0A"/>
    <w:rsid w:val="003F1F19"/>
    <w:rsid w:val="003F2210"/>
    <w:rsid w:val="003F2604"/>
    <w:rsid w:val="003F3123"/>
    <w:rsid w:val="003F433A"/>
    <w:rsid w:val="003F48FA"/>
    <w:rsid w:val="003F535C"/>
    <w:rsid w:val="003F5FD4"/>
    <w:rsid w:val="003F6097"/>
    <w:rsid w:val="003F61D4"/>
    <w:rsid w:val="003F67E0"/>
    <w:rsid w:val="003F7109"/>
    <w:rsid w:val="003F7196"/>
    <w:rsid w:val="003F7236"/>
    <w:rsid w:val="00400448"/>
    <w:rsid w:val="00400708"/>
    <w:rsid w:val="004008AF"/>
    <w:rsid w:val="00400B5F"/>
    <w:rsid w:val="004010CC"/>
    <w:rsid w:val="00401DBF"/>
    <w:rsid w:val="00402D18"/>
    <w:rsid w:val="004033D9"/>
    <w:rsid w:val="00403510"/>
    <w:rsid w:val="004040A2"/>
    <w:rsid w:val="00404A94"/>
    <w:rsid w:val="00404CE4"/>
    <w:rsid w:val="004052B9"/>
    <w:rsid w:val="0040551F"/>
    <w:rsid w:val="004067BF"/>
    <w:rsid w:val="0040771F"/>
    <w:rsid w:val="00410075"/>
    <w:rsid w:val="004101E5"/>
    <w:rsid w:val="00410ABA"/>
    <w:rsid w:val="004111F7"/>
    <w:rsid w:val="0041217D"/>
    <w:rsid w:val="004124E5"/>
    <w:rsid w:val="004125C6"/>
    <w:rsid w:val="0041275F"/>
    <w:rsid w:val="00412BE9"/>
    <w:rsid w:val="00412D43"/>
    <w:rsid w:val="00413834"/>
    <w:rsid w:val="00413BC9"/>
    <w:rsid w:val="00413F43"/>
    <w:rsid w:val="0041516F"/>
    <w:rsid w:val="00415413"/>
    <w:rsid w:val="004200AC"/>
    <w:rsid w:val="004204DA"/>
    <w:rsid w:val="0042082C"/>
    <w:rsid w:val="0042114F"/>
    <w:rsid w:val="00421911"/>
    <w:rsid w:val="00421A89"/>
    <w:rsid w:val="00421EBC"/>
    <w:rsid w:val="00422232"/>
    <w:rsid w:val="00422A66"/>
    <w:rsid w:val="00422C3F"/>
    <w:rsid w:val="0042304B"/>
    <w:rsid w:val="00423867"/>
    <w:rsid w:val="00424084"/>
    <w:rsid w:val="00424A80"/>
    <w:rsid w:val="004273AD"/>
    <w:rsid w:val="00427D52"/>
    <w:rsid w:val="004303AE"/>
    <w:rsid w:val="004305AE"/>
    <w:rsid w:val="00430AB4"/>
    <w:rsid w:val="00431051"/>
    <w:rsid w:val="00431800"/>
    <w:rsid w:val="00431A6C"/>
    <w:rsid w:val="004324E8"/>
    <w:rsid w:val="00432720"/>
    <w:rsid w:val="00433541"/>
    <w:rsid w:val="00435413"/>
    <w:rsid w:val="00435755"/>
    <w:rsid w:val="004359C7"/>
    <w:rsid w:val="00435F3A"/>
    <w:rsid w:val="00436514"/>
    <w:rsid w:val="004376B3"/>
    <w:rsid w:val="004376EC"/>
    <w:rsid w:val="00437E01"/>
    <w:rsid w:val="00440391"/>
    <w:rsid w:val="00440E31"/>
    <w:rsid w:val="0044183A"/>
    <w:rsid w:val="00441E76"/>
    <w:rsid w:val="004423F7"/>
    <w:rsid w:val="00442A49"/>
    <w:rsid w:val="00443090"/>
    <w:rsid w:val="004443BE"/>
    <w:rsid w:val="00444DE6"/>
    <w:rsid w:val="0044690B"/>
    <w:rsid w:val="00446BBE"/>
    <w:rsid w:val="00446EB0"/>
    <w:rsid w:val="0044782C"/>
    <w:rsid w:val="00447904"/>
    <w:rsid w:val="0045023F"/>
    <w:rsid w:val="00450413"/>
    <w:rsid w:val="004505EF"/>
    <w:rsid w:val="0045093D"/>
    <w:rsid w:val="00451645"/>
    <w:rsid w:val="00451923"/>
    <w:rsid w:val="00451FCD"/>
    <w:rsid w:val="00452811"/>
    <w:rsid w:val="00453448"/>
    <w:rsid w:val="00454C34"/>
    <w:rsid w:val="00454F8E"/>
    <w:rsid w:val="00455DF1"/>
    <w:rsid w:val="00455EA1"/>
    <w:rsid w:val="00456891"/>
    <w:rsid w:val="00456FA9"/>
    <w:rsid w:val="004577E6"/>
    <w:rsid w:val="00457A19"/>
    <w:rsid w:val="004603B4"/>
    <w:rsid w:val="004610C3"/>
    <w:rsid w:val="004616F9"/>
    <w:rsid w:val="0046229D"/>
    <w:rsid w:val="00462778"/>
    <w:rsid w:val="00463744"/>
    <w:rsid w:val="00463B6D"/>
    <w:rsid w:val="004642CB"/>
    <w:rsid w:val="00464F6C"/>
    <w:rsid w:val="004652F3"/>
    <w:rsid w:val="004654B1"/>
    <w:rsid w:val="00465555"/>
    <w:rsid w:val="0046770A"/>
    <w:rsid w:val="00471D0D"/>
    <w:rsid w:val="00471DC2"/>
    <w:rsid w:val="0047214A"/>
    <w:rsid w:val="004743A3"/>
    <w:rsid w:val="004746C6"/>
    <w:rsid w:val="00474E01"/>
    <w:rsid w:val="00475F2E"/>
    <w:rsid w:val="00476020"/>
    <w:rsid w:val="00476037"/>
    <w:rsid w:val="0047760D"/>
    <w:rsid w:val="0048087F"/>
    <w:rsid w:val="00480C3C"/>
    <w:rsid w:val="00482710"/>
    <w:rsid w:val="00482804"/>
    <w:rsid w:val="00482885"/>
    <w:rsid w:val="00482B47"/>
    <w:rsid w:val="004830B9"/>
    <w:rsid w:val="0048323E"/>
    <w:rsid w:val="00484CC8"/>
    <w:rsid w:val="00484DC5"/>
    <w:rsid w:val="0048524D"/>
    <w:rsid w:val="0048543F"/>
    <w:rsid w:val="00485600"/>
    <w:rsid w:val="00485675"/>
    <w:rsid w:val="00485C78"/>
    <w:rsid w:val="004869CC"/>
    <w:rsid w:val="00487047"/>
    <w:rsid w:val="00487C85"/>
    <w:rsid w:val="0049056F"/>
    <w:rsid w:val="004905B3"/>
    <w:rsid w:val="00490DC4"/>
    <w:rsid w:val="00491FA9"/>
    <w:rsid w:val="00491FAD"/>
    <w:rsid w:val="00493B8F"/>
    <w:rsid w:val="00494F64"/>
    <w:rsid w:val="00497A54"/>
    <w:rsid w:val="00497B9F"/>
    <w:rsid w:val="004A0C8D"/>
    <w:rsid w:val="004A2084"/>
    <w:rsid w:val="004A2F8A"/>
    <w:rsid w:val="004A2F9D"/>
    <w:rsid w:val="004A3DAB"/>
    <w:rsid w:val="004A4430"/>
    <w:rsid w:val="004A4561"/>
    <w:rsid w:val="004A4FDF"/>
    <w:rsid w:val="004A5489"/>
    <w:rsid w:val="004A5E73"/>
    <w:rsid w:val="004A6620"/>
    <w:rsid w:val="004A6AF2"/>
    <w:rsid w:val="004A73AC"/>
    <w:rsid w:val="004A767F"/>
    <w:rsid w:val="004A79F6"/>
    <w:rsid w:val="004A7A52"/>
    <w:rsid w:val="004B13E3"/>
    <w:rsid w:val="004B19FE"/>
    <w:rsid w:val="004B224F"/>
    <w:rsid w:val="004B2A4D"/>
    <w:rsid w:val="004B2CB9"/>
    <w:rsid w:val="004B2CC0"/>
    <w:rsid w:val="004B2F45"/>
    <w:rsid w:val="004B3342"/>
    <w:rsid w:val="004B33C2"/>
    <w:rsid w:val="004B4214"/>
    <w:rsid w:val="004B4461"/>
    <w:rsid w:val="004B49CA"/>
    <w:rsid w:val="004B598A"/>
    <w:rsid w:val="004B5EC2"/>
    <w:rsid w:val="004B60A7"/>
    <w:rsid w:val="004B63CF"/>
    <w:rsid w:val="004B672D"/>
    <w:rsid w:val="004B689D"/>
    <w:rsid w:val="004B6CCA"/>
    <w:rsid w:val="004C0E97"/>
    <w:rsid w:val="004C1112"/>
    <w:rsid w:val="004C14B1"/>
    <w:rsid w:val="004C48C8"/>
    <w:rsid w:val="004C4C92"/>
    <w:rsid w:val="004C5820"/>
    <w:rsid w:val="004C598D"/>
    <w:rsid w:val="004C6BF2"/>
    <w:rsid w:val="004C769E"/>
    <w:rsid w:val="004D170F"/>
    <w:rsid w:val="004D1AA7"/>
    <w:rsid w:val="004D2307"/>
    <w:rsid w:val="004D25CD"/>
    <w:rsid w:val="004D2BE7"/>
    <w:rsid w:val="004D34B3"/>
    <w:rsid w:val="004D37B5"/>
    <w:rsid w:val="004D3897"/>
    <w:rsid w:val="004D4425"/>
    <w:rsid w:val="004D5B8E"/>
    <w:rsid w:val="004D727E"/>
    <w:rsid w:val="004D7704"/>
    <w:rsid w:val="004D7BA7"/>
    <w:rsid w:val="004D7BC1"/>
    <w:rsid w:val="004E16AF"/>
    <w:rsid w:val="004E28E8"/>
    <w:rsid w:val="004E2B58"/>
    <w:rsid w:val="004E2BD6"/>
    <w:rsid w:val="004E355C"/>
    <w:rsid w:val="004E3971"/>
    <w:rsid w:val="004E3976"/>
    <w:rsid w:val="004E3F17"/>
    <w:rsid w:val="004E4BCD"/>
    <w:rsid w:val="004E6502"/>
    <w:rsid w:val="004E68A7"/>
    <w:rsid w:val="004E696F"/>
    <w:rsid w:val="004E6BF4"/>
    <w:rsid w:val="004E709B"/>
    <w:rsid w:val="004E781B"/>
    <w:rsid w:val="004E792C"/>
    <w:rsid w:val="004E7DDA"/>
    <w:rsid w:val="004F074C"/>
    <w:rsid w:val="004F11D3"/>
    <w:rsid w:val="004F2B45"/>
    <w:rsid w:val="004F3A03"/>
    <w:rsid w:val="004F44D2"/>
    <w:rsid w:val="004F46A7"/>
    <w:rsid w:val="004F4D55"/>
    <w:rsid w:val="004F5085"/>
    <w:rsid w:val="004F6851"/>
    <w:rsid w:val="004F6AD3"/>
    <w:rsid w:val="004F7A1F"/>
    <w:rsid w:val="004F7E44"/>
    <w:rsid w:val="005000A6"/>
    <w:rsid w:val="00501386"/>
    <w:rsid w:val="0050191A"/>
    <w:rsid w:val="00501BD9"/>
    <w:rsid w:val="00501C25"/>
    <w:rsid w:val="00502366"/>
    <w:rsid w:val="005027A6"/>
    <w:rsid w:val="00502D9B"/>
    <w:rsid w:val="00502DAE"/>
    <w:rsid w:val="00502FFB"/>
    <w:rsid w:val="00503868"/>
    <w:rsid w:val="005038A0"/>
    <w:rsid w:val="00503CC2"/>
    <w:rsid w:val="00504A82"/>
    <w:rsid w:val="0050530C"/>
    <w:rsid w:val="00505640"/>
    <w:rsid w:val="00505D4C"/>
    <w:rsid w:val="00505E19"/>
    <w:rsid w:val="005074D7"/>
    <w:rsid w:val="0050788F"/>
    <w:rsid w:val="005079C9"/>
    <w:rsid w:val="00507B77"/>
    <w:rsid w:val="005103C5"/>
    <w:rsid w:val="005110E6"/>
    <w:rsid w:val="00511597"/>
    <w:rsid w:val="00511B78"/>
    <w:rsid w:val="00511F32"/>
    <w:rsid w:val="00512B91"/>
    <w:rsid w:val="005131D3"/>
    <w:rsid w:val="0051352C"/>
    <w:rsid w:val="00513E14"/>
    <w:rsid w:val="00514FC2"/>
    <w:rsid w:val="00515BFA"/>
    <w:rsid w:val="00517A86"/>
    <w:rsid w:val="0052047E"/>
    <w:rsid w:val="00520A2D"/>
    <w:rsid w:val="00520B37"/>
    <w:rsid w:val="00522082"/>
    <w:rsid w:val="00523449"/>
    <w:rsid w:val="00523485"/>
    <w:rsid w:val="0052349D"/>
    <w:rsid w:val="0052430D"/>
    <w:rsid w:val="00524410"/>
    <w:rsid w:val="00524BE8"/>
    <w:rsid w:val="0052575D"/>
    <w:rsid w:val="00526C92"/>
    <w:rsid w:val="005275FC"/>
    <w:rsid w:val="0052768C"/>
    <w:rsid w:val="00527998"/>
    <w:rsid w:val="00530896"/>
    <w:rsid w:val="005309CD"/>
    <w:rsid w:val="00530C81"/>
    <w:rsid w:val="005310AF"/>
    <w:rsid w:val="005313B5"/>
    <w:rsid w:val="00532B77"/>
    <w:rsid w:val="00533C91"/>
    <w:rsid w:val="005342C3"/>
    <w:rsid w:val="00534593"/>
    <w:rsid w:val="005347B1"/>
    <w:rsid w:val="00534E1D"/>
    <w:rsid w:val="0053543B"/>
    <w:rsid w:val="0053569D"/>
    <w:rsid w:val="00535ACD"/>
    <w:rsid w:val="00535F5C"/>
    <w:rsid w:val="005362F5"/>
    <w:rsid w:val="0053725B"/>
    <w:rsid w:val="0053737D"/>
    <w:rsid w:val="00537518"/>
    <w:rsid w:val="005403AD"/>
    <w:rsid w:val="00540C57"/>
    <w:rsid w:val="00540CDF"/>
    <w:rsid w:val="0054105C"/>
    <w:rsid w:val="005411C6"/>
    <w:rsid w:val="005422D7"/>
    <w:rsid w:val="005444DF"/>
    <w:rsid w:val="005461C6"/>
    <w:rsid w:val="0054720A"/>
    <w:rsid w:val="00547CAB"/>
    <w:rsid w:val="00550585"/>
    <w:rsid w:val="00550A41"/>
    <w:rsid w:val="00550F4B"/>
    <w:rsid w:val="005515EE"/>
    <w:rsid w:val="00551769"/>
    <w:rsid w:val="00552575"/>
    <w:rsid w:val="005531BD"/>
    <w:rsid w:val="00553955"/>
    <w:rsid w:val="00554717"/>
    <w:rsid w:val="00554BD9"/>
    <w:rsid w:val="0055515F"/>
    <w:rsid w:val="00555882"/>
    <w:rsid w:val="005567B2"/>
    <w:rsid w:val="00557424"/>
    <w:rsid w:val="00557870"/>
    <w:rsid w:val="005600A9"/>
    <w:rsid w:val="00560277"/>
    <w:rsid w:val="00560938"/>
    <w:rsid w:val="00560AF1"/>
    <w:rsid w:val="00561562"/>
    <w:rsid w:val="00563DE6"/>
    <w:rsid w:val="0056528D"/>
    <w:rsid w:val="00565952"/>
    <w:rsid w:val="0056628B"/>
    <w:rsid w:val="00566298"/>
    <w:rsid w:val="00566BCD"/>
    <w:rsid w:val="005705DB"/>
    <w:rsid w:val="0057091E"/>
    <w:rsid w:val="00570FA2"/>
    <w:rsid w:val="00571761"/>
    <w:rsid w:val="00571B83"/>
    <w:rsid w:val="005723D6"/>
    <w:rsid w:val="005742A8"/>
    <w:rsid w:val="00574A6E"/>
    <w:rsid w:val="00574B31"/>
    <w:rsid w:val="0057537F"/>
    <w:rsid w:val="005755CA"/>
    <w:rsid w:val="00575961"/>
    <w:rsid w:val="005763A3"/>
    <w:rsid w:val="00577145"/>
    <w:rsid w:val="005773BE"/>
    <w:rsid w:val="0058033F"/>
    <w:rsid w:val="005803B9"/>
    <w:rsid w:val="00581FCA"/>
    <w:rsid w:val="0058231E"/>
    <w:rsid w:val="00582365"/>
    <w:rsid w:val="0058242D"/>
    <w:rsid w:val="00582B2E"/>
    <w:rsid w:val="005830B4"/>
    <w:rsid w:val="00583870"/>
    <w:rsid w:val="00583AB6"/>
    <w:rsid w:val="005840B4"/>
    <w:rsid w:val="005858B5"/>
    <w:rsid w:val="00585929"/>
    <w:rsid w:val="00585C1B"/>
    <w:rsid w:val="00587639"/>
    <w:rsid w:val="00587C5C"/>
    <w:rsid w:val="00587CCC"/>
    <w:rsid w:val="0059073E"/>
    <w:rsid w:val="00590A1D"/>
    <w:rsid w:val="005912C6"/>
    <w:rsid w:val="005914A6"/>
    <w:rsid w:val="005925BA"/>
    <w:rsid w:val="00592638"/>
    <w:rsid w:val="00592F95"/>
    <w:rsid w:val="00593138"/>
    <w:rsid w:val="00593739"/>
    <w:rsid w:val="00593A33"/>
    <w:rsid w:val="005947B5"/>
    <w:rsid w:val="00594BA4"/>
    <w:rsid w:val="00594CAB"/>
    <w:rsid w:val="00594F44"/>
    <w:rsid w:val="005950FB"/>
    <w:rsid w:val="0059525D"/>
    <w:rsid w:val="0059596F"/>
    <w:rsid w:val="005960BB"/>
    <w:rsid w:val="00596B1D"/>
    <w:rsid w:val="00596BED"/>
    <w:rsid w:val="0059707C"/>
    <w:rsid w:val="00597407"/>
    <w:rsid w:val="005976C6"/>
    <w:rsid w:val="005A022D"/>
    <w:rsid w:val="005A0496"/>
    <w:rsid w:val="005A05DB"/>
    <w:rsid w:val="005A07EA"/>
    <w:rsid w:val="005A096D"/>
    <w:rsid w:val="005A1F82"/>
    <w:rsid w:val="005A2971"/>
    <w:rsid w:val="005A4047"/>
    <w:rsid w:val="005A4384"/>
    <w:rsid w:val="005A4423"/>
    <w:rsid w:val="005A49E4"/>
    <w:rsid w:val="005A4BC8"/>
    <w:rsid w:val="005A60EA"/>
    <w:rsid w:val="005A6A7D"/>
    <w:rsid w:val="005A7012"/>
    <w:rsid w:val="005A7208"/>
    <w:rsid w:val="005A7697"/>
    <w:rsid w:val="005A7A5E"/>
    <w:rsid w:val="005A7CF2"/>
    <w:rsid w:val="005B0061"/>
    <w:rsid w:val="005B17FD"/>
    <w:rsid w:val="005B1C07"/>
    <w:rsid w:val="005B1E04"/>
    <w:rsid w:val="005B1F85"/>
    <w:rsid w:val="005B2A2F"/>
    <w:rsid w:val="005B3432"/>
    <w:rsid w:val="005B3855"/>
    <w:rsid w:val="005B3B38"/>
    <w:rsid w:val="005B3BD6"/>
    <w:rsid w:val="005B3CC3"/>
    <w:rsid w:val="005B4900"/>
    <w:rsid w:val="005B4BEF"/>
    <w:rsid w:val="005B4C45"/>
    <w:rsid w:val="005B71F8"/>
    <w:rsid w:val="005B7D6C"/>
    <w:rsid w:val="005C01EE"/>
    <w:rsid w:val="005C08B1"/>
    <w:rsid w:val="005C0B93"/>
    <w:rsid w:val="005C1944"/>
    <w:rsid w:val="005C2058"/>
    <w:rsid w:val="005C2C25"/>
    <w:rsid w:val="005C3703"/>
    <w:rsid w:val="005C3D66"/>
    <w:rsid w:val="005C3F0D"/>
    <w:rsid w:val="005C3F4F"/>
    <w:rsid w:val="005C44C9"/>
    <w:rsid w:val="005C45C9"/>
    <w:rsid w:val="005C4921"/>
    <w:rsid w:val="005C647B"/>
    <w:rsid w:val="005C7215"/>
    <w:rsid w:val="005C73C4"/>
    <w:rsid w:val="005D00EA"/>
    <w:rsid w:val="005D023B"/>
    <w:rsid w:val="005D02C4"/>
    <w:rsid w:val="005D0790"/>
    <w:rsid w:val="005D0B5E"/>
    <w:rsid w:val="005D0E5B"/>
    <w:rsid w:val="005D15B8"/>
    <w:rsid w:val="005D177E"/>
    <w:rsid w:val="005D1C66"/>
    <w:rsid w:val="005D2304"/>
    <w:rsid w:val="005D2C92"/>
    <w:rsid w:val="005D3207"/>
    <w:rsid w:val="005D33B5"/>
    <w:rsid w:val="005D38CD"/>
    <w:rsid w:val="005D3A04"/>
    <w:rsid w:val="005D3C49"/>
    <w:rsid w:val="005D48FE"/>
    <w:rsid w:val="005D5654"/>
    <w:rsid w:val="005D7105"/>
    <w:rsid w:val="005D7471"/>
    <w:rsid w:val="005D749D"/>
    <w:rsid w:val="005E049B"/>
    <w:rsid w:val="005E080D"/>
    <w:rsid w:val="005E0B61"/>
    <w:rsid w:val="005E0E8A"/>
    <w:rsid w:val="005E2702"/>
    <w:rsid w:val="005E2934"/>
    <w:rsid w:val="005E32E5"/>
    <w:rsid w:val="005E37F9"/>
    <w:rsid w:val="005E3925"/>
    <w:rsid w:val="005E3FFC"/>
    <w:rsid w:val="005E4F90"/>
    <w:rsid w:val="005E5874"/>
    <w:rsid w:val="005E5B1E"/>
    <w:rsid w:val="005E7119"/>
    <w:rsid w:val="005E75D5"/>
    <w:rsid w:val="005E78FF"/>
    <w:rsid w:val="005F1555"/>
    <w:rsid w:val="005F2978"/>
    <w:rsid w:val="005F3CDD"/>
    <w:rsid w:val="005F4546"/>
    <w:rsid w:val="005F4721"/>
    <w:rsid w:val="005F49E2"/>
    <w:rsid w:val="005F720A"/>
    <w:rsid w:val="005F7558"/>
    <w:rsid w:val="006019B5"/>
    <w:rsid w:val="00601D8A"/>
    <w:rsid w:val="00602F43"/>
    <w:rsid w:val="00603127"/>
    <w:rsid w:val="00603B08"/>
    <w:rsid w:val="006055F1"/>
    <w:rsid w:val="00605776"/>
    <w:rsid w:val="00605E71"/>
    <w:rsid w:val="006068FC"/>
    <w:rsid w:val="00606954"/>
    <w:rsid w:val="00607078"/>
    <w:rsid w:val="00610162"/>
    <w:rsid w:val="00610ABA"/>
    <w:rsid w:val="00610BCD"/>
    <w:rsid w:val="00611F89"/>
    <w:rsid w:val="00612420"/>
    <w:rsid w:val="006129EC"/>
    <w:rsid w:val="00612B8A"/>
    <w:rsid w:val="00613037"/>
    <w:rsid w:val="0061314B"/>
    <w:rsid w:val="006135AB"/>
    <w:rsid w:val="006138E4"/>
    <w:rsid w:val="00613DE1"/>
    <w:rsid w:val="006144F6"/>
    <w:rsid w:val="00614840"/>
    <w:rsid w:val="00616407"/>
    <w:rsid w:val="00616759"/>
    <w:rsid w:val="006167AC"/>
    <w:rsid w:val="00616AD2"/>
    <w:rsid w:val="00617F2E"/>
    <w:rsid w:val="00620E5A"/>
    <w:rsid w:val="00622EFB"/>
    <w:rsid w:val="00623EC6"/>
    <w:rsid w:val="006249AE"/>
    <w:rsid w:val="006250E9"/>
    <w:rsid w:val="00625174"/>
    <w:rsid w:val="0062606E"/>
    <w:rsid w:val="0062629A"/>
    <w:rsid w:val="00626F14"/>
    <w:rsid w:val="00627AF7"/>
    <w:rsid w:val="00630519"/>
    <w:rsid w:val="0063053C"/>
    <w:rsid w:val="00630C3F"/>
    <w:rsid w:val="00631D72"/>
    <w:rsid w:val="006322FF"/>
    <w:rsid w:val="00632449"/>
    <w:rsid w:val="00632D2D"/>
    <w:rsid w:val="00632E77"/>
    <w:rsid w:val="0063309A"/>
    <w:rsid w:val="0063325C"/>
    <w:rsid w:val="006336DB"/>
    <w:rsid w:val="00633B2F"/>
    <w:rsid w:val="00634907"/>
    <w:rsid w:val="0063557C"/>
    <w:rsid w:val="00635732"/>
    <w:rsid w:val="006401A8"/>
    <w:rsid w:val="006403CA"/>
    <w:rsid w:val="00640C31"/>
    <w:rsid w:val="00641149"/>
    <w:rsid w:val="006419E4"/>
    <w:rsid w:val="006421ED"/>
    <w:rsid w:val="00643226"/>
    <w:rsid w:val="0064432F"/>
    <w:rsid w:val="0064487F"/>
    <w:rsid w:val="00644B62"/>
    <w:rsid w:val="0064590B"/>
    <w:rsid w:val="006459EF"/>
    <w:rsid w:val="00645ADB"/>
    <w:rsid w:val="006465F3"/>
    <w:rsid w:val="006471A1"/>
    <w:rsid w:val="00647ECF"/>
    <w:rsid w:val="00650421"/>
    <w:rsid w:val="00650693"/>
    <w:rsid w:val="00650B90"/>
    <w:rsid w:val="006511C9"/>
    <w:rsid w:val="00651794"/>
    <w:rsid w:val="00651A73"/>
    <w:rsid w:val="00651F77"/>
    <w:rsid w:val="0065202C"/>
    <w:rsid w:val="00652ABD"/>
    <w:rsid w:val="006534BF"/>
    <w:rsid w:val="006537D7"/>
    <w:rsid w:val="0065444A"/>
    <w:rsid w:val="00654F68"/>
    <w:rsid w:val="00655220"/>
    <w:rsid w:val="00655CF9"/>
    <w:rsid w:val="00655D45"/>
    <w:rsid w:val="006565AC"/>
    <w:rsid w:val="00656AE8"/>
    <w:rsid w:val="0065707F"/>
    <w:rsid w:val="0065714C"/>
    <w:rsid w:val="00657565"/>
    <w:rsid w:val="00657705"/>
    <w:rsid w:val="0066027B"/>
    <w:rsid w:val="00660A74"/>
    <w:rsid w:val="00660F48"/>
    <w:rsid w:val="006619C0"/>
    <w:rsid w:val="00662E5F"/>
    <w:rsid w:val="006632E2"/>
    <w:rsid w:val="006637B0"/>
    <w:rsid w:val="00663E96"/>
    <w:rsid w:val="00663FDB"/>
    <w:rsid w:val="00664434"/>
    <w:rsid w:val="00664BEE"/>
    <w:rsid w:val="00665151"/>
    <w:rsid w:val="00665368"/>
    <w:rsid w:val="0066561F"/>
    <w:rsid w:val="00666A58"/>
    <w:rsid w:val="00667670"/>
    <w:rsid w:val="00670650"/>
    <w:rsid w:val="006712C0"/>
    <w:rsid w:val="006718AC"/>
    <w:rsid w:val="00671C5E"/>
    <w:rsid w:val="006720F4"/>
    <w:rsid w:val="00673BCC"/>
    <w:rsid w:val="006743BB"/>
    <w:rsid w:val="006744AC"/>
    <w:rsid w:val="00674C7D"/>
    <w:rsid w:val="00675390"/>
    <w:rsid w:val="006764ED"/>
    <w:rsid w:val="0067662F"/>
    <w:rsid w:val="0068052E"/>
    <w:rsid w:val="006809AB"/>
    <w:rsid w:val="00680B40"/>
    <w:rsid w:val="00680EA1"/>
    <w:rsid w:val="00681C1E"/>
    <w:rsid w:val="00681EC9"/>
    <w:rsid w:val="006822FA"/>
    <w:rsid w:val="0068288C"/>
    <w:rsid w:val="0068381F"/>
    <w:rsid w:val="00683F36"/>
    <w:rsid w:val="00684813"/>
    <w:rsid w:val="00684B1D"/>
    <w:rsid w:val="00684F08"/>
    <w:rsid w:val="0068517B"/>
    <w:rsid w:val="00685589"/>
    <w:rsid w:val="00686240"/>
    <w:rsid w:val="0068682C"/>
    <w:rsid w:val="006875C7"/>
    <w:rsid w:val="00690107"/>
    <w:rsid w:val="00690634"/>
    <w:rsid w:val="00690696"/>
    <w:rsid w:val="0069099C"/>
    <w:rsid w:val="006928C6"/>
    <w:rsid w:val="00692E4C"/>
    <w:rsid w:val="00692F11"/>
    <w:rsid w:val="0069304F"/>
    <w:rsid w:val="006938AA"/>
    <w:rsid w:val="00693AC9"/>
    <w:rsid w:val="0069474B"/>
    <w:rsid w:val="0069475D"/>
    <w:rsid w:val="0069521B"/>
    <w:rsid w:val="00695EE2"/>
    <w:rsid w:val="00696D2B"/>
    <w:rsid w:val="00697966"/>
    <w:rsid w:val="006A0282"/>
    <w:rsid w:val="006A044E"/>
    <w:rsid w:val="006A122D"/>
    <w:rsid w:val="006A2905"/>
    <w:rsid w:val="006A3A2B"/>
    <w:rsid w:val="006A53AC"/>
    <w:rsid w:val="006A55B0"/>
    <w:rsid w:val="006A6163"/>
    <w:rsid w:val="006A6546"/>
    <w:rsid w:val="006A687C"/>
    <w:rsid w:val="006A68AB"/>
    <w:rsid w:val="006A6A16"/>
    <w:rsid w:val="006A6BF1"/>
    <w:rsid w:val="006A6DDD"/>
    <w:rsid w:val="006A7D28"/>
    <w:rsid w:val="006B0AC1"/>
    <w:rsid w:val="006B1035"/>
    <w:rsid w:val="006B3032"/>
    <w:rsid w:val="006B3B81"/>
    <w:rsid w:val="006B4B4A"/>
    <w:rsid w:val="006B4CAC"/>
    <w:rsid w:val="006B502E"/>
    <w:rsid w:val="006B5CF1"/>
    <w:rsid w:val="006B5E5A"/>
    <w:rsid w:val="006B683F"/>
    <w:rsid w:val="006B69D4"/>
    <w:rsid w:val="006B75C6"/>
    <w:rsid w:val="006C06A1"/>
    <w:rsid w:val="006C0C81"/>
    <w:rsid w:val="006C1145"/>
    <w:rsid w:val="006C1599"/>
    <w:rsid w:val="006C354C"/>
    <w:rsid w:val="006C3B76"/>
    <w:rsid w:val="006C4572"/>
    <w:rsid w:val="006C4B39"/>
    <w:rsid w:val="006C4DB4"/>
    <w:rsid w:val="006C5AF2"/>
    <w:rsid w:val="006C5F36"/>
    <w:rsid w:val="006C6E12"/>
    <w:rsid w:val="006C7B03"/>
    <w:rsid w:val="006C7BA9"/>
    <w:rsid w:val="006D008E"/>
    <w:rsid w:val="006D039B"/>
    <w:rsid w:val="006D0BD4"/>
    <w:rsid w:val="006D0EC2"/>
    <w:rsid w:val="006D1283"/>
    <w:rsid w:val="006D148B"/>
    <w:rsid w:val="006D2B6E"/>
    <w:rsid w:val="006D2D35"/>
    <w:rsid w:val="006D3872"/>
    <w:rsid w:val="006D4C72"/>
    <w:rsid w:val="006D4CC4"/>
    <w:rsid w:val="006D4E4C"/>
    <w:rsid w:val="006D5585"/>
    <w:rsid w:val="006D5609"/>
    <w:rsid w:val="006D5DE7"/>
    <w:rsid w:val="006D5E05"/>
    <w:rsid w:val="006D5F76"/>
    <w:rsid w:val="006D6D96"/>
    <w:rsid w:val="006D7211"/>
    <w:rsid w:val="006D75C8"/>
    <w:rsid w:val="006D776B"/>
    <w:rsid w:val="006E05D9"/>
    <w:rsid w:val="006E0AF0"/>
    <w:rsid w:val="006E10E7"/>
    <w:rsid w:val="006E11FA"/>
    <w:rsid w:val="006E12DF"/>
    <w:rsid w:val="006E1690"/>
    <w:rsid w:val="006E1A8A"/>
    <w:rsid w:val="006E26BD"/>
    <w:rsid w:val="006E2AD9"/>
    <w:rsid w:val="006E32A8"/>
    <w:rsid w:val="006E34F9"/>
    <w:rsid w:val="006E3AB7"/>
    <w:rsid w:val="006E41E1"/>
    <w:rsid w:val="006E4C25"/>
    <w:rsid w:val="006E4CCA"/>
    <w:rsid w:val="006E53D5"/>
    <w:rsid w:val="006E60F8"/>
    <w:rsid w:val="006E65FC"/>
    <w:rsid w:val="006E6C9F"/>
    <w:rsid w:val="006E6CD4"/>
    <w:rsid w:val="006E741C"/>
    <w:rsid w:val="006E7533"/>
    <w:rsid w:val="006E7562"/>
    <w:rsid w:val="006F0D46"/>
    <w:rsid w:val="006F11F9"/>
    <w:rsid w:val="006F12D6"/>
    <w:rsid w:val="006F1BD8"/>
    <w:rsid w:val="006F23DD"/>
    <w:rsid w:val="006F2B8E"/>
    <w:rsid w:val="006F2F61"/>
    <w:rsid w:val="006F42F2"/>
    <w:rsid w:val="006F44BD"/>
    <w:rsid w:val="006F48C1"/>
    <w:rsid w:val="006F5158"/>
    <w:rsid w:val="006F58BA"/>
    <w:rsid w:val="006F75F0"/>
    <w:rsid w:val="006F78C1"/>
    <w:rsid w:val="0070008C"/>
    <w:rsid w:val="00700950"/>
    <w:rsid w:val="00700AD7"/>
    <w:rsid w:val="00701136"/>
    <w:rsid w:val="00701BF7"/>
    <w:rsid w:val="007028EE"/>
    <w:rsid w:val="00702B5D"/>
    <w:rsid w:val="00702C7B"/>
    <w:rsid w:val="0070319A"/>
    <w:rsid w:val="00703CA4"/>
    <w:rsid w:val="00703CB4"/>
    <w:rsid w:val="007057AB"/>
    <w:rsid w:val="00705FA8"/>
    <w:rsid w:val="007069BC"/>
    <w:rsid w:val="00706F85"/>
    <w:rsid w:val="0070759B"/>
    <w:rsid w:val="00707801"/>
    <w:rsid w:val="00707C18"/>
    <w:rsid w:val="00707FD1"/>
    <w:rsid w:val="007103A9"/>
    <w:rsid w:val="0071098A"/>
    <w:rsid w:val="00713287"/>
    <w:rsid w:val="0071357A"/>
    <w:rsid w:val="00715186"/>
    <w:rsid w:val="00715FA6"/>
    <w:rsid w:val="00716AD2"/>
    <w:rsid w:val="00716C8B"/>
    <w:rsid w:val="00716E40"/>
    <w:rsid w:val="007203CA"/>
    <w:rsid w:val="007209A9"/>
    <w:rsid w:val="007212A8"/>
    <w:rsid w:val="00722255"/>
    <w:rsid w:val="007226F5"/>
    <w:rsid w:val="00723ACB"/>
    <w:rsid w:val="00723B2C"/>
    <w:rsid w:val="007243DB"/>
    <w:rsid w:val="00724A77"/>
    <w:rsid w:val="00724ED0"/>
    <w:rsid w:val="00724F92"/>
    <w:rsid w:val="0072517D"/>
    <w:rsid w:val="007251B5"/>
    <w:rsid w:val="007253D6"/>
    <w:rsid w:val="00725543"/>
    <w:rsid w:val="0072578A"/>
    <w:rsid w:val="0072597A"/>
    <w:rsid w:val="007269C5"/>
    <w:rsid w:val="00730869"/>
    <w:rsid w:val="00731C1A"/>
    <w:rsid w:val="00731D51"/>
    <w:rsid w:val="007331EA"/>
    <w:rsid w:val="00733DFF"/>
    <w:rsid w:val="00733E72"/>
    <w:rsid w:val="00734D5F"/>
    <w:rsid w:val="00735DCF"/>
    <w:rsid w:val="007368BD"/>
    <w:rsid w:val="00737049"/>
    <w:rsid w:val="007372FA"/>
    <w:rsid w:val="00737753"/>
    <w:rsid w:val="0073792C"/>
    <w:rsid w:val="007401BC"/>
    <w:rsid w:val="00740F59"/>
    <w:rsid w:val="007417EC"/>
    <w:rsid w:val="0074257A"/>
    <w:rsid w:val="00743A83"/>
    <w:rsid w:val="0074703C"/>
    <w:rsid w:val="00747171"/>
    <w:rsid w:val="00747434"/>
    <w:rsid w:val="0074788B"/>
    <w:rsid w:val="00747B83"/>
    <w:rsid w:val="00750FBA"/>
    <w:rsid w:val="0075137C"/>
    <w:rsid w:val="007515CB"/>
    <w:rsid w:val="00751815"/>
    <w:rsid w:val="00751A22"/>
    <w:rsid w:val="00752129"/>
    <w:rsid w:val="00752CC7"/>
    <w:rsid w:val="0075351E"/>
    <w:rsid w:val="0075418A"/>
    <w:rsid w:val="007543F6"/>
    <w:rsid w:val="00754613"/>
    <w:rsid w:val="00754F41"/>
    <w:rsid w:val="00755751"/>
    <w:rsid w:val="00755CB5"/>
    <w:rsid w:val="00755F97"/>
    <w:rsid w:val="00756109"/>
    <w:rsid w:val="0075643F"/>
    <w:rsid w:val="00756709"/>
    <w:rsid w:val="00756995"/>
    <w:rsid w:val="007575A9"/>
    <w:rsid w:val="0075792D"/>
    <w:rsid w:val="00757CB7"/>
    <w:rsid w:val="007606C2"/>
    <w:rsid w:val="00760ABE"/>
    <w:rsid w:val="00760ED0"/>
    <w:rsid w:val="0076217A"/>
    <w:rsid w:val="0076260D"/>
    <w:rsid w:val="00763432"/>
    <w:rsid w:val="00763B77"/>
    <w:rsid w:val="00763C13"/>
    <w:rsid w:val="00764155"/>
    <w:rsid w:val="007664DD"/>
    <w:rsid w:val="0076702C"/>
    <w:rsid w:val="00767287"/>
    <w:rsid w:val="00767F6C"/>
    <w:rsid w:val="0077001E"/>
    <w:rsid w:val="0077075A"/>
    <w:rsid w:val="007727C5"/>
    <w:rsid w:val="00772829"/>
    <w:rsid w:val="00772951"/>
    <w:rsid w:val="00774808"/>
    <w:rsid w:val="00776C08"/>
    <w:rsid w:val="007775EA"/>
    <w:rsid w:val="00777848"/>
    <w:rsid w:val="00777893"/>
    <w:rsid w:val="007805EA"/>
    <w:rsid w:val="0078095B"/>
    <w:rsid w:val="00782541"/>
    <w:rsid w:val="00782867"/>
    <w:rsid w:val="007829BF"/>
    <w:rsid w:val="00784341"/>
    <w:rsid w:val="00784BC6"/>
    <w:rsid w:val="007852E9"/>
    <w:rsid w:val="00786805"/>
    <w:rsid w:val="00786CA5"/>
    <w:rsid w:val="00786CCE"/>
    <w:rsid w:val="00786EDD"/>
    <w:rsid w:val="00787B3A"/>
    <w:rsid w:val="00790552"/>
    <w:rsid w:val="00790B15"/>
    <w:rsid w:val="00790F49"/>
    <w:rsid w:val="007911CA"/>
    <w:rsid w:val="0079167A"/>
    <w:rsid w:val="0079251C"/>
    <w:rsid w:val="00792EB4"/>
    <w:rsid w:val="007931CB"/>
    <w:rsid w:val="007947D0"/>
    <w:rsid w:val="00794B3A"/>
    <w:rsid w:val="007951D4"/>
    <w:rsid w:val="007953C1"/>
    <w:rsid w:val="00795898"/>
    <w:rsid w:val="007960D5"/>
    <w:rsid w:val="007972A7"/>
    <w:rsid w:val="00797868"/>
    <w:rsid w:val="00797C46"/>
    <w:rsid w:val="007A0FB6"/>
    <w:rsid w:val="007A15EC"/>
    <w:rsid w:val="007A19F6"/>
    <w:rsid w:val="007A1F0C"/>
    <w:rsid w:val="007A24F8"/>
    <w:rsid w:val="007A2B65"/>
    <w:rsid w:val="007A2BF1"/>
    <w:rsid w:val="007A2D57"/>
    <w:rsid w:val="007A3D3A"/>
    <w:rsid w:val="007A3E21"/>
    <w:rsid w:val="007A4801"/>
    <w:rsid w:val="007A556F"/>
    <w:rsid w:val="007A5617"/>
    <w:rsid w:val="007A5E8B"/>
    <w:rsid w:val="007A6798"/>
    <w:rsid w:val="007A71E6"/>
    <w:rsid w:val="007A73D3"/>
    <w:rsid w:val="007A7A28"/>
    <w:rsid w:val="007A7C26"/>
    <w:rsid w:val="007B0170"/>
    <w:rsid w:val="007B0245"/>
    <w:rsid w:val="007B083F"/>
    <w:rsid w:val="007B0880"/>
    <w:rsid w:val="007B0D01"/>
    <w:rsid w:val="007B0F57"/>
    <w:rsid w:val="007B100E"/>
    <w:rsid w:val="007B1BED"/>
    <w:rsid w:val="007B1EC6"/>
    <w:rsid w:val="007B2085"/>
    <w:rsid w:val="007B2FDC"/>
    <w:rsid w:val="007B38A0"/>
    <w:rsid w:val="007B38B7"/>
    <w:rsid w:val="007B38B9"/>
    <w:rsid w:val="007B3B5C"/>
    <w:rsid w:val="007B4A8F"/>
    <w:rsid w:val="007B4F7B"/>
    <w:rsid w:val="007B5256"/>
    <w:rsid w:val="007B583D"/>
    <w:rsid w:val="007B5CF7"/>
    <w:rsid w:val="007B6684"/>
    <w:rsid w:val="007B6B21"/>
    <w:rsid w:val="007B7024"/>
    <w:rsid w:val="007B7C95"/>
    <w:rsid w:val="007C0390"/>
    <w:rsid w:val="007C1309"/>
    <w:rsid w:val="007C14A2"/>
    <w:rsid w:val="007C191A"/>
    <w:rsid w:val="007C1D7A"/>
    <w:rsid w:val="007C2A19"/>
    <w:rsid w:val="007C300E"/>
    <w:rsid w:val="007C328D"/>
    <w:rsid w:val="007C336F"/>
    <w:rsid w:val="007C41B1"/>
    <w:rsid w:val="007C49E1"/>
    <w:rsid w:val="007C522E"/>
    <w:rsid w:val="007C59E5"/>
    <w:rsid w:val="007C6535"/>
    <w:rsid w:val="007C6863"/>
    <w:rsid w:val="007C6CE4"/>
    <w:rsid w:val="007C6F29"/>
    <w:rsid w:val="007C744A"/>
    <w:rsid w:val="007C7D5D"/>
    <w:rsid w:val="007D072B"/>
    <w:rsid w:val="007D1115"/>
    <w:rsid w:val="007D14DC"/>
    <w:rsid w:val="007D1680"/>
    <w:rsid w:val="007D1844"/>
    <w:rsid w:val="007D19CA"/>
    <w:rsid w:val="007D1A73"/>
    <w:rsid w:val="007D2B08"/>
    <w:rsid w:val="007D2C33"/>
    <w:rsid w:val="007D2D7A"/>
    <w:rsid w:val="007D30B7"/>
    <w:rsid w:val="007D4EBC"/>
    <w:rsid w:val="007D577A"/>
    <w:rsid w:val="007D6D74"/>
    <w:rsid w:val="007D7636"/>
    <w:rsid w:val="007E0C2F"/>
    <w:rsid w:val="007E15AD"/>
    <w:rsid w:val="007E253C"/>
    <w:rsid w:val="007E25ED"/>
    <w:rsid w:val="007E265E"/>
    <w:rsid w:val="007E2BC0"/>
    <w:rsid w:val="007E2E02"/>
    <w:rsid w:val="007E3F62"/>
    <w:rsid w:val="007E3FC5"/>
    <w:rsid w:val="007E6161"/>
    <w:rsid w:val="007E6B82"/>
    <w:rsid w:val="007E6F8F"/>
    <w:rsid w:val="007E7CA2"/>
    <w:rsid w:val="007F0720"/>
    <w:rsid w:val="007F0D49"/>
    <w:rsid w:val="007F1A09"/>
    <w:rsid w:val="007F1A94"/>
    <w:rsid w:val="007F1F5C"/>
    <w:rsid w:val="007F37C2"/>
    <w:rsid w:val="007F49D7"/>
    <w:rsid w:val="007F54D1"/>
    <w:rsid w:val="007F57E9"/>
    <w:rsid w:val="007F5BE9"/>
    <w:rsid w:val="007F67E9"/>
    <w:rsid w:val="007F6E31"/>
    <w:rsid w:val="007F6F22"/>
    <w:rsid w:val="007F71EF"/>
    <w:rsid w:val="007F7C7B"/>
    <w:rsid w:val="00800182"/>
    <w:rsid w:val="00801011"/>
    <w:rsid w:val="00801332"/>
    <w:rsid w:val="00801BD6"/>
    <w:rsid w:val="00802B88"/>
    <w:rsid w:val="00802EEA"/>
    <w:rsid w:val="00802FC8"/>
    <w:rsid w:val="008040A2"/>
    <w:rsid w:val="0080433A"/>
    <w:rsid w:val="008044B3"/>
    <w:rsid w:val="00804632"/>
    <w:rsid w:val="00804ED3"/>
    <w:rsid w:val="008054D9"/>
    <w:rsid w:val="00806688"/>
    <w:rsid w:val="00807A3E"/>
    <w:rsid w:val="00807B71"/>
    <w:rsid w:val="00810338"/>
    <w:rsid w:val="0081046B"/>
    <w:rsid w:val="00810739"/>
    <w:rsid w:val="00812282"/>
    <w:rsid w:val="00812C31"/>
    <w:rsid w:val="0081390A"/>
    <w:rsid w:val="0081423F"/>
    <w:rsid w:val="008148E4"/>
    <w:rsid w:val="00814991"/>
    <w:rsid w:val="008157F1"/>
    <w:rsid w:val="00815EB6"/>
    <w:rsid w:val="00816DBB"/>
    <w:rsid w:val="00816EC2"/>
    <w:rsid w:val="00817F21"/>
    <w:rsid w:val="00820D97"/>
    <w:rsid w:val="00821405"/>
    <w:rsid w:val="00822242"/>
    <w:rsid w:val="00822F23"/>
    <w:rsid w:val="008236E1"/>
    <w:rsid w:val="00824458"/>
    <w:rsid w:val="008249F7"/>
    <w:rsid w:val="00824AF2"/>
    <w:rsid w:val="00824B74"/>
    <w:rsid w:val="00825550"/>
    <w:rsid w:val="00825A01"/>
    <w:rsid w:val="00825C7C"/>
    <w:rsid w:val="00827027"/>
    <w:rsid w:val="008308D7"/>
    <w:rsid w:val="00830FBE"/>
    <w:rsid w:val="00832E38"/>
    <w:rsid w:val="00832F87"/>
    <w:rsid w:val="008349C1"/>
    <w:rsid w:val="00835EC9"/>
    <w:rsid w:val="008360B0"/>
    <w:rsid w:val="008361EC"/>
    <w:rsid w:val="00836519"/>
    <w:rsid w:val="00836521"/>
    <w:rsid w:val="0083692F"/>
    <w:rsid w:val="00836FAA"/>
    <w:rsid w:val="00837480"/>
    <w:rsid w:val="00841388"/>
    <w:rsid w:val="00841EFB"/>
    <w:rsid w:val="00841F44"/>
    <w:rsid w:val="008423AA"/>
    <w:rsid w:val="00842C82"/>
    <w:rsid w:val="0084361A"/>
    <w:rsid w:val="008436D7"/>
    <w:rsid w:val="008438FE"/>
    <w:rsid w:val="00843B48"/>
    <w:rsid w:val="00843BD9"/>
    <w:rsid w:val="00843D25"/>
    <w:rsid w:val="008440FE"/>
    <w:rsid w:val="0084415A"/>
    <w:rsid w:val="00845FC2"/>
    <w:rsid w:val="00846119"/>
    <w:rsid w:val="008474E3"/>
    <w:rsid w:val="008477A4"/>
    <w:rsid w:val="0085113D"/>
    <w:rsid w:val="00852620"/>
    <w:rsid w:val="008527ED"/>
    <w:rsid w:val="008537F7"/>
    <w:rsid w:val="0085389E"/>
    <w:rsid w:val="008544D2"/>
    <w:rsid w:val="008546BE"/>
    <w:rsid w:val="008548C9"/>
    <w:rsid w:val="00854BFE"/>
    <w:rsid w:val="00856074"/>
    <w:rsid w:val="00857597"/>
    <w:rsid w:val="008576F8"/>
    <w:rsid w:val="008577F9"/>
    <w:rsid w:val="00857949"/>
    <w:rsid w:val="00860EA1"/>
    <w:rsid w:val="008619FC"/>
    <w:rsid w:val="0086292E"/>
    <w:rsid w:val="00864259"/>
    <w:rsid w:val="0086599A"/>
    <w:rsid w:val="00865A57"/>
    <w:rsid w:val="0086653C"/>
    <w:rsid w:val="00867F71"/>
    <w:rsid w:val="008700FD"/>
    <w:rsid w:val="0087101C"/>
    <w:rsid w:val="00871922"/>
    <w:rsid w:val="008719C2"/>
    <w:rsid w:val="008720C0"/>
    <w:rsid w:val="0087277A"/>
    <w:rsid w:val="00872A47"/>
    <w:rsid w:val="00872DE0"/>
    <w:rsid w:val="0087347C"/>
    <w:rsid w:val="008736E2"/>
    <w:rsid w:val="00874565"/>
    <w:rsid w:val="008746DF"/>
    <w:rsid w:val="008754CF"/>
    <w:rsid w:val="00876B23"/>
    <w:rsid w:val="00876F97"/>
    <w:rsid w:val="00877247"/>
    <w:rsid w:val="0087759C"/>
    <w:rsid w:val="00877BB4"/>
    <w:rsid w:val="00877DC5"/>
    <w:rsid w:val="008801AE"/>
    <w:rsid w:val="008805FC"/>
    <w:rsid w:val="008808BE"/>
    <w:rsid w:val="00880AA3"/>
    <w:rsid w:val="00881D08"/>
    <w:rsid w:val="00882350"/>
    <w:rsid w:val="00883458"/>
    <w:rsid w:val="0088407D"/>
    <w:rsid w:val="0088421C"/>
    <w:rsid w:val="0088429B"/>
    <w:rsid w:val="0088445B"/>
    <w:rsid w:val="00885212"/>
    <w:rsid w:val="008871CE"/>
    <w:rsid w:val="00887213"/>
    <w:rsid w:val="00887322"/>
    <w:rsid w:val="00890546"/>
    <w:rsid w:val="00890816"/>
    <w:rsid w:val="00891AF6"/>
    <w:rsid w:val="00891BC3"/>
    <w:rsid w:val="00892BAD"/>
    <w:rsid w:val="008937C8"/>
    <w:rsid w:val="0089456E"/>
    <w:rsid w:val="00894AFA"/>
    <w:rsid w:val="00895090"/>
    <w:rsid w:val="0089516A"/>
    <w:rsid w:val="0089518B"/>
    <w:rsid w:val="00895828"/>
    <w:rsid w:val="00895B39"/>
    <w:rsid w:val="0089601C"/>
    <w:rsid w:val="00896487"/>
    <w:rsid w:val="008967C4"/>
    <w:rsid w:val="00896D6D"/>
    <w:rsid w:val="00896DB8"/>
    <w:rsid w:val="00897B26"/>
    <w:rsid w:val="008A0D2A"/>
    <w:rsid w:val="008A1693"/>
    <w:rsid w:val="008A254F"/>
    <w:rsid w:val="008A2630"/>
    <w:rsid w:val="008A3024"/>
    <w:rsid w:val="008A5833"/>
    <w:rsid w:val="008A5CD1"/>
    <w:rsid w:val="008A6FDF"/>
    <w:rsid w:val="008B01F1"/>
    <w:rsid w:val="008B0233"/>
    <w:rsid w:val="008B3207"/>
    <w:rsid w:val="008B3A88"/>
    <w:rsid w:val="008B3E3F"/>
    <w:rsid w:val="008B4116"/>
    <w:rsid w:val="008B46D1"/>
    <w:rsid w:val="008B4BFC"/>
    <w:rsid w:val="008B512A"/>
    <w:rsid w:val="008B51B4"/>
    <w:rsid w:val="008B5850"/>
    <w:rsid w:val="008B5B67"/>
    <w:rsid w:val="008B5B6C"/>
    <w:rsid w:val="008B5D7A"/>
    <w:rsid w:val="008B66E3"/>
    <w:rsid w:val="008B67C6"/>
    <w:rsid w:val="008B6C09"/>
    <w:rsid w:val="008B7593"/>
    <w:rsid w:val="008B7848"/>
    <w:rsid w:val="008C0428"/>
    <w:rsid w:val="008C0C63"/>
    <w:rsid w:val="008C172D"/>
    <w:rsid w:val="008C1E05"/>
    <w:rsid w:val="008C23E3"/>
    <w:rsid w:val="008C2B1A"/>
    <w:rsid w:val="008C314E"/>
    <w:rsid w:val="008C34BB"/>
    <w:rsid w:val="008C3B52"/>
    <w:rsid w:val="008C45E2"/>
    <w:rsid w:val="008C4854"/>
    <w:rsid w:val="008C4870"/>
    <w:rsid w:val="008C7745"/>
    <w:rsid w:val="008D281F"/>
    <w:rsid w:val="008D3726"/>
    <w:rsid w:val="008D45EF"/>
    <w:rsid w:val="008D46F0"/>
    <w:rsid w:val="008D4CB0"/>
    <w:rsid w:val="008D6397"/>
    <w:rsid w:val="008D6B4D"/>
    <w:rsid w:val="008D73C9"/>
    <w:rsid w:val="008D7977"/>
    <w:rsid w:val="008E002A"/>
    <w:rsid w:val="008E0157"/>
    <w:rsid w:val="008E01DC"/>
    <w:rsid w:val="008E0B16"/>
    <w:rsid w:val="008E16BF"/>
    <w:rsid w:val="008E2479"/>
    <w:rsid w:val="008E29DB"/>
    <w:rsid w:val="008E3049"/>
    <w:rsid w:val="008E3206"/>
    <w:rsid w:val="008E35A3"/>
    <w:rsid w:val="008E377D"/>
    <w:rsid w:val="008E405A"/>
    <w:rsid w:val="008E40F8"/>
    <w:rsid w:val="008E4C28"/>
    <w:rsid w:val="008E543B"/>
    <w:rsid w:val="008E5666"/>
    <w:rsid w:val="008E6FFA"/>
    <w:rsid w:val="008E7274"/>
    <w:rsid w:val="008E730E"/>
    <w:rsid w:val="008F0562"/>
    <w:rsid w:val="008F06E6"/>
    <w:rsid w:val="008F070B"/>
    <w:rsid w:val="008F260B"/>
    <w:rsid w:val="008F3EAB"/>
    <w:rsid w:val="008F4565"/>
    <w:rsid w:val="008F48D7"/>
    <w:rsid w:val="008F4B6E"/>
    <w:rsid w:val="008F4C2A"/>
    <w:rsid w:val="008F6B43"/>
    <w:rsid w:val="009012CC"/>
    <w:rsid w:val="00902A34"/>
    <w:rsid w:val="009048CA"/>
    <w:rsid w:val="009049A1"/>
    <w:rsid w:val="009063E0"/>
    <w:rsid w:val="0090680E"/>
    <w:rsid w:val="00906821"/>
    <w:rsid w:val="00906E65"/>
    <w:rsid w:val="009074EE"/>
    <w:rsid w:val="00907A66"/>
    <w:rsid w:val="00907F39"/>
    <w:rsid w:val="0091028C"/>
    <w:rsid w:val="00911FBA"/>
    <w:rsid w:val="00912409"/>
    <w:rsid w:val="0091299F"/>
    <w:rsid w:val="00912A0C"/>
    <w:rsid w:val="009132DE"/>
    <w:rsid w:val="009144D5"/>
    <w:rsid w:val="00914A64"/>
    <w:rsid w:val="0091560B"/>
    <w:rsid w:val="00915F98"/>
    <w:rsid w:val="00915FA3"/>
    <w:rsid w:val="00920E11"/>
    <w:rsid w:val="00920E30"/>
    <w:rsid w:val="00921746"/>
    <w:rsid w:val="009217F8"/>
    <w:rsid w:val="00922BE9"/>
    <w:rsid w:val="00923932"/>
    <w:rsid w:val="0092470E"/>
    <w:rsid w:val="0092471A"/>
    <w:rsid w:val="00924B89"/>
    <w:rsid w:val="00925187"/>
    <w:rsid w:val="009252D4"/>
    <w:rsid w:val="00925B59"/>
    <w:rsid w:val="0092634F"/>
    <w:rsid w:val="00926791"/>
    <w:rsid w:val="00926C8B"/>
    <w:rsid w:val="00926D3E"/>
    <w:rsid w:val="0092709C"/>
    <w:rsid w:val="0092717F"/>
    <w:rsid w:val="00927744"/>
    <w:rsid w:val="00927B05"/>
    <w:rsid w:val="009301AB"/>
    <w:rsid w:val="00930E8B"/>
    <w:rsid w:val="00930F4E"/>
    <w:rsid w:val="00931118"/>
    <w:rsid w:val="009315ED"/>
    <w:rsid w:val="009316F6"/>
    <w:rsid w:val="00932735"/>
    <w:rsid w:val="00932D7D"/>
    <w:rsid w:val="00936062"/>
    <w:rsid w:val="0093673B"/>
    <w:rsid w:val="009377CB"/>
    <w:rsid w:val="00937C35"/>
    <w:rsid w:val="00937CBE"/>
    <w:rsid w:val="0094094D"/>
    <w:rsid w:val="0094407B"/>
    <w:rsid w:val="00944087"/>
    <w:rsid w:val="00944618"/>
    <w:rsid w:val="00944E74"/>
    <w:rsid w:val="009453C6"/>
    <w:rsid w:val="009465C8"/>
    <w:rsid w:val="009468F0"/>
    <w:rsid w:val="0094713B"/>
    <w:rsid w:val="0094798F"/>
    <w:rsid w:val="00947A5B"/>
    <w:rsid w:val="0095012E"/>
    <w:rsid w:val="00950389"/>
    <w:rsid w:val="00950C46"/>
    <w:rsid w:val="00951934"/>
    <w:rsid w:val="0095207B"/>
    <w:rsid w:val="00952508"/>
    <w:rsid w:val="0095273B"/>
    <w:rsid w:val="0095284C"/>
    <w:rsid w:val="009534F6"/>
    <w:rsid w:val="00954287"/>
    <w:rsid w:val="00954C8C"/>
    <w:rsid w:val="00955BA3"/>
    <w:rsid w:val="00956ACE"/>
    <w:rsid w:val="009572A0"/>
    <w:rsid w:val="00957D24"/>
    <w:rsid w:val="00960767"/>
    <w:rsid w:val="00960DCF"/>
    <w:rsid w:val="00960FF2"/>
    <w:rsid w:val="00961B53"/>
    <w:rsid w:val="00963264"/>
    <w:rsid w:val="0096389D"/>
    <w:rsid w:val="009639C8"/>
    <w:rsid w:val="009640CC"/>
    <w:rsid w:val="009643F8"/>
    <w:rsid w:val="00966A2B"/>
    <w:rsid w:val="009672BE"/>
    <w:rsid w:val="009676C0"/>
    <w:rsid w:val="0096775A"/>
    <w:rsid w:val="00967768"/>
    <w:rsid w:val="00967DFD"/>
    <w:rsid w:val="0097102B"/>
    <w:rsid w:val="00971945"/>
    <w:rsid w:val="00971F92"/>
    <w:rsid w:val="00972B6F"/>
    <w:rsid w:val="00973C1D"/>
    <w:rsid w:val="00974493"/>
    <w:rsid w:val="009803A9"/>
    <w:rsid w:val="009803CB"/>
    <w:rsid w:val="009803D4"/>
    <w:rsid w:val="0098056F"/>
    <w:rsid w:val="009807A2"/>
    <w:rsid w:val="0098199C"/>
    <w:rsid w:val="009826C0"/>
    <w:rsid w:val="0098281F"/>
    <w:rsid w:val="00982B0F"/>
    <w:rsid w:val="00983997"/>
    <w:rsid w:val="00984C61"/>
    <w:rsid w:val="00984D1F"/>
    <w:rsid w:val="00985E39"/>
    <w:rsid w:val="00985E70"/>
    <w:rsid w:val="009873F3"/>
    <w:rsid w:val="00991723"/>
    <w:rsid w:val="00992961"/>
    <w:rsid w:val="00992F48"/>
    <w:rsid w:val="00992FC1"/>
    <w:rsid w:val="00993914"/>
    <w:rsid w:val="00994234"/>
    <w:rsid w:val="00994C02"/>
    <w:rsid w:val="00995E98"/>
    <w:rsid w:val="00996F15"/>
    <w:rsid w:val="00997BA8"/>
    <w:rsid w:val="009A0579"/>
    <w:rsid w:val="009A06F4"/>
    <w:rsid w:val="009A1524"/>
    <w:rsid w:val="009A212C"/>
    <w:rsid w:val="009A3778"/>
    <w:rsid w:val="009A3E2E"/>
    <w:rsid w:val="009A4A60"/>
    <w:rsid w:val="009A4EB1"/>
    <w:rsid w:val="009A518D"/>
    <w:rsid w:val="009A594D"/>
    <w:rsid w:val="009A6B2D"/>
    <w:rsid w:val="009A6F6E"/>
    <w:rsid w:val="009A7C31"/>
    <w:rsid w:val="009A7DEF"/>
    <w:rsid w:val="009A7F34"/>
    <w:rsid w:val="009B0589"/>
    <w:rsid w:val="009B06E4"/>
    <w:rsid w:val="009B0C25"/>
    <w:rsid w:val="009B126F"/>
    <w:rsid w:val="009B2145"/>
    <w:rsid w:val="009B2212"/>
    <w:rsid w:val="009B223F"/>
    <w:rsid w:val="009B2245"/>
    <w:rsid w:val="009B258E"/>
    <w:rsid w:val="009B39EB"/>
    <w:rsid w:val="009B53DF"/>
    <w:rsid w:val="009B5997"/>
    <w:rsid w:val="009B59E1"/>
    <w:rsid w:val="009B6183"/>
    <w:rsid w:val="009B678A"/>
    <w:rsid w:val="009B6B23"/>
    <w:rsid w:val="009B7998"/>
    <w:rsid w:val="009B7ABD"/>
    <w:rsid w:val="009C08B8"/>
    <w:rsid w:val="009C09E6"/>
    <w:rsid w:val="009C15E0"/>
    <w:rsid w:val="009C1D27"/>
    <w:rsid w:val="009C2E6C"/>
    <w:rsid w:val="009C3082"/>
    <w:rsid w:val="009C3541"/>
    <w:rsid w:val="009C3AB5"/>
    <w:rsid w:val="009C3BD9"/>
    <w:rsid w:val="009C483D"/>
    <w:rsid w:val="009C4DFD"/>
    <w:rsid w:val="009C5B82"/>
    <w:rsid w:val="009C5D25"/>
    <w:rsid w:val="009C68D4"/>
    <w:rsid w:val="009C756E"/>
    <w:rsid w:val="009D0D0F"/>
    <w:rsid w:val="009D21BE"/>
    <w:rsid w:val="009D22AB"/>
    <w:rsid w:val="009D31F1"/>
    <w:rsid w:val="009D3C3D"/>
    <w:rsid w:val="009D521F"/>
    <w:rsid w:val="009D5288"/>
    <w:rsid w:val="009D6E22"/>
    <w:rsid w:val="009D6EB0"/>
    <w:rsid w:val="009D6ECF"/>
    <w:rsid w:val="009D7013"/>
    <w:rsid w:val="009D7075"/>
    <w:rsid w:val="009E06DC"/>
    <w:rsid w:val="009E0B19"/>
    <w:rsid w:val="009E1957"/>
    <w:rsid w:val="009E207F"/>
    <w:rsid w:val="009E2129"/>
    <w:rsid w:val="009E24BD"/>
    <w:rsid w:val="009E2AD3"/>
    <w:rsid w:val="009E2CFF"/>
    <w:rsid w:val="009E37DA"/>
    <w:rsid w:val="009E3815"/>
    <w:rsid w:val="009E40DC"/>
    <w:rsid w:val="009E4116"/>
    <w:rsid w:val="009E47E5"/>
    <w:rsid w:val="009E4846"/>
    <w:rsid w:val="009E4DE5"/>
    <w:rsid w:val="009E5021"/>
    <w:rsid w:val="009E60F2"/>
    <w:rsid w:val="009E778E"/>
    <w:rsid w:val="009E7BB4"/>
    <w:rsid w:val="009F146F"/>
    <w:rsid w:val="009F1640"/>
    <w:rsid w:val="009F2DE0"/>
    <w:rsid w:val="009F3C75"/>
    <w:rsid w:val="009F4789"/>
    <w:rsid w:val="009F584C"/>
    <w:rsid w:val="009F657B"/>
    <w:rsid w:val="009F6A91"/>
    <w:rsid w:val="009F6EB4"/>
    <w:rsid w:val="009F7284"/>
    <w:rsid w:val="00A0037E"/>
    <w:rsid w:val="00A01303"/>
    <w:rsid w:val="00A01479"/>
    <w:rsid w:val="00A01585"/>
    <w:rsid w:val="00A01934"/>
    <w:rsid w:val="00A01B78"/>
    <w:rsid w:val="00A01F44"/>
    <w:rsid w:val="00A02C4F"/>
    <w:rsid w:val="00A03960"/>
    <w:rsid w:val="00A04A09"/>
    <w:rsid w:val="00A05225"/>
    <w:rsid w:val="00A05370"/>
    <w:rsid w:val="00A05821"/>
    <w:rsid w:val="00A05D1D"/>
    <w:rsid w:val="00A05EA2"/>
    <w:rsid w:val="00A05F16"/>
    <w:rsid w:val="00A05F84"/>
    <w:rsid w:val="00A06023"/>
    <w:rsid w:val="00A06AB5"/>
    <w:rsid w:val="00A076CC"/>
    <w:rsid w:val="00A07B25"/>
    <w:rsid w:val="00A10F54"/>
    <w:rsid w:val="00A1165C"/>
    <w:rsid w:val="00A11897"/>
    <w:rsid w:val="00A11D36"/>
    <w:rsid w:val="00A125D6"/>
    <w:rsid w:val="00A131D3"/>
    <w:rsid w:val="00A1360F"/>
    <w:rsid w:val="00A14E53"/>
    <w:rsid w:val="00A151BE"/>
    <w:rsid w:val="00A15580"/>
    <w:rsid w:val="00A156E9"/>
    <w:rsid w:val="00A16011"/>
    <w:rsid w:val="00A16449"/>
    <w:rsid w:val="00A16E37"/>
    <w:rsid w:val="00A17F05"/>
    <w:rsid w:val="00A20115"/>
    <w:rsid w:val="00A20BDA"/>
    <w:rsid w:val="00A20E99"/>
    <w:rsid w:val="00A21AA2"/>
    <w:rsid w:val="00A22EFC"/>
    <w:rsid w:val="00A23CCF"/>
    <w:rsid w:val="00A2401B"/>
    <w:rsid w:val="00A24287"/>
    <w:rsid w:val="00A25573"/>
    <w:rsid w:val="00A2599A"/>
    <w:rsid w:val="00A259C1"/>
    <w:rsid w:val="00A25B4D"/>
    <w:rsid w:val="00A26389"/>
    <w:rsid w:val="00A263B9"/>
    <w:rsid w:val="00A26927"/>
    <w:rsid w:val="00A303B8"/>
    <w:rsid w:val="00A3044D"/>
    <w:rsid w:val="00A31844"/>
    <w:rsid w:val="00A3296F"/>
    <w:rsid w:val="00A32ECB"/>
    <w:rsid w:val="00A34735"/>
    <w:rsid w:val="00A34AAA"/>
    <w:rsid w:val="00A34FC5"/>
    <w:rsid w:val="00A35163"/>
    <w:rsid w:val="00A35B63"/>
    <w:rsid w:val="00A35D3C"/>
    <w:rsid w:val="00A361C3"/>
    <w:rsid w:val="00A37008"/>
    <w:rsid w:val="00A411FA"/>
    <w:rsid w:val="00A41755"/>
    <w:rsid w:val="00A42754"/>
    <w:rsid w:val="00A43012"/>
    <w:rsid w:val="00A4313D"/>
    <w:rsid w:val="00A43755"/>
    <w:rsid w:val="00A439ED"/>
    <w:rsid w:val="00A43D91"/>
    <w:rsid w:val="00A44391"/>
    <w:rsid w:val="00A44735"/>
    <w:rsid w:val="00A44E23"/>
    <w:rsid w:val="00A44EC1"/>
    <w:rsid w:val="00A451D3"/>
    <w:rsid w:val="00A452C2"/>
    <w:rsid w:val="00A454B3"/>
    <w:rsid w:val="00A45E32"/>
    <w:rsid w:val="00A45E52"/>
    <w:rsid w:val="00A45F33"/>
    <w:rsid w:val="00A46652"/>
    <w:rsid w:val="00A46D15"/>
    <w:rsid w:val="00A4713D"/>
    <w:rsid w:val="00A47C19"/>
    <w:rsid w:val="00A5118A"/>
    <w:rsid w:val="00A5280D"/>
    <w:rsid w:val="00A52E45"/>
    <w:rsid w:val="00A5323B"/>
    <w:rsid w:val="00A53CFB"/>
    <w:rsid w:val="00A53D07"/>
    <w:rsid w:val="00A542F8"/>
    <w:rsid w:val="00A54FB4"/>
    <w:rsid w:val="00A5556A"/>
    <w:rsid w:val="00A55842"/>
    <w:rsid w:val="00A55953"/>
    <w:rsid w:val="00A55A1D"/>
    <w:rsid w:val="00A55F22"/>
    <w:rsid w:val="00A56050"/>
    <w:rsid w:val="00A56839"/>
    <w:rsid w:val="00A56BA9"/>
    <w:rsid w:val="00A56C53"/>
    <w:rsid w:val="00A56DE0"/>
    <w:rsid w:val="00A606A5"/>
    <w:rsid w:val="00A60FA9"/>
    <w:rsid w:val="00A61B06"/>
    <w:rsid w:val="00A62C9A"/>
    <w:rsid w:val="00A63C18"/>
    <w:rsid w:val="00A6486C"/>
    <w:rsid w:val="00A653E3"/>
    <w:rsid w:val="00A65819"/>
    <w:rsid w:val="00A65A3C"/>
    <w:rsid w:val="00A662DC"/>
    <w:rsid w:val="00A66AB8"/>
    <w:rsid w:val="00A6741B"/>
    <w:rsid w:val="00A67738"/>
    <w:rsid w:val="00A67FB4"/>
    <w:rsid w:val="00A70715"/>
    <w:rsid w:val="00A72D6F"/>
    <w:rsid w:val="00A73AC5"/>
    <w:rsid w:val="00A73C95"/>
    <w:rsid w:val="00A74226"/>
    <w:rsid w:val="00A7536B"/>
    <w:rsid w:val="00A757B0"/>
    <w:rsid w:val="00A757B8"/>
    <w:rsid w:val="00A757BA"/>
    <w:rsid w:val="00A76D1D"/>
    <w:rsid w:val="00A76DF3"/>
    <w:rsid w:val="00A776A4"/>
    <w:rsid w:val="00A8000F"/>
    <w:rsid w:val="00A80266"/>
    <w:rsid w:val="00A8049D"/>
    <w:rsid w:val="00A80A84"/>
    <w:rsid w:val="00A82072"/>
    <w:rsid w:val="00A822C2"/>
    <w:rsid w:val="00A82990"/>
    <w:rsid w:val="00A82D67"/>
    <w:rsid w:val="00A838FF"/>
    <w:rsid w:val="00A86F9C"/>
    <w:rsid w:val="00A874FB"/>
    <w:rsid w:val="00A90401"/>
    <w:rsid w:val="00A91055"/>
    <w:rsid w:val="00A921E3"/>
    <w:rsid w:val="00A93122"/>
    <w:rsid w:val="00A93586"/>
    <w:rsid w:val="00A94294"/>
    <w:rsid w:val="00A94D20"/>
    <w:rsid w:val="00A94D8C"/>
    <w:rsid w:val="00A96315"/>
    <w:rsid w:val="00A9752B"/>
    <w:rsid w:val="00A97707"/>
    <w:rsid w:val="00A97BB7"/>
    <w:rsid w:val="00AA1D55"/>
    <w:rsid w:val="00AA2461"/>
    <w:rsid w:val="00AA25B2"/>
    <w:rsid w:val="00AA2865"/>
    <w:rsid w:val="00AA3397"/>
    <w:rsid w:val="00AA345B"/>
    <w:rsid w:val="00AA39C9"/>
    <w:rsid w:val="00AA3A9B"/>
    <w:rsid w:val="00AA3BF1"/>
    <w:rsid w:val="00AA4410"/>
    <w:rsid w:val="00AA5410"/>
    <w:rsid w:val="00AA59C0"/>
    <w:rsid w:val="00AA5EAA"/>
    <w:rsid w:val="00AA7395"/>
    <w:rsid w:val="00AB09F4"/>
    <w:rsid w:val="00AB0ED8"/>
    <w:rsid w:val="00AB0FF9"/>
    <w:rsid w:val="00AB1C1C"/>
    <w:rsid w:val="00AB21C6"/>
    <w:rsid w:val="00AB2841"/>
    <w:rsid w:val="00AB3E6D"/>
    <w:rsid w:val="00AB5A4F"/>
    <w:rsid w:val="00AC02D9"/>
    <w:rsid w:val="00AC0758"/>
    <w:rsid w:val="00AC13B6"/>
    <w:rsid w:val="00AC2049"/>
    <w:rsid w:val="00AC2B8A"/>
    <w:rsid w:val="00AC4644"/>
    <w:rsid w:val="00AC4DF1"/>
    <w:rsid w:val="00AC5594"/>
    <w:rsid w:val="00AC587A"/>
    <w:rsid w:val="00AC618D"/>
    <w:rsid w:val="00AC6CB4"/>
    <w:rsid w:val="00AC6F7D"/>
    <w:rsid w:val="00AC720A"/>
    <w:rsid w:val="00AC72AF"/>
    <w:rsid w:val="00AC73AE"/>
    <w:rsid w:val="00AD09B6"/>
    <w:rsid w:val="00AD1ADC"/>
    <w:rsid w:val="00AD368F"/>
    <w:rsid w:val="00AD422F"/>
    <w:rsid w:val="00AD42B5"/>
    <w:rsid w:val="00AD4414"/>
    <w:rsid w:val="00AD4B69"/>
    <w:rsid w:val="00AD596B"/>
    <w:rsid w:val="00AD5F03"/>
    <w:rsid w:val="00AD60EA"/>
    <w:rsid w:val="00AD67D4"/>
    <w:rsid w:val="00AD7581"/>
    <w:rsid w:val="00AD7647"/>
    <w:rsid w:val="00AD7E0B"/>
    <w:rsid w:val="00AD7F9B"/>
    <w:rsid w:val="00AE1279"/>
    <w:rsid w:val="00AE30F5"/>
    <w:rsid w:val="00AE3AE8"/>
    <w:rsid w:val="00AE4331"/>
    <w:rsid w:val="00AE4CDB"/>
    <w:rsid w:val="00AE5363"/>
    <w:rsid w:val="00AE614D"/>
    <w:rsid w:val="00AE7849"/>
    <w:rsid w:val="00AE7977"/>
    <w:rsid w:val="00AE79C5"/>
    <w:rsid w:val="00AF1F10"/>
    <w:rsid w:val="00AF2F5E"/>
    <w:rsid w:val="00AF36BA"/>
    <w:rsid w:val="00AF3989"/>
    <w:rsid w:val="00AF3D39"/>
    <w:rsid w:val="00AF3EC4"/>
    <w:rsid w:val="00AF41DA"/>
    <w:rsid w:val="00AF497B"/>
    <w:rsid w:val="00AF499A"/>
    <w:rsid w:val="00AF5A7F"/>
    <w:rsid w:val="00AF5FF1"/>
    <w:rsid w:val="00AF6A4C"/>
    <w:rsid w:val="00AF73F5"/>
    <w:rsid w:val="00B00A9C"/>
    <w:rsid w:val="00B0198C"/>
    <w:rsid w:val="00B02183"/>
    <w:rsid w:val="00B0293C"/>
    <w:rsid w:val="00B03153"/>
    <w:rsid w:val="00B03500"/>
    <w:rsid w:val="00B03A83"/>
    <w:rsid w:val="00B03D3D"/>
    <w:rsid w:val="00B047C2"/>
    <w:rsid w:val="00B04CB1"/>
    <w:rsid w:val="00B05094"/>
    <w:rsid w:val="00B05635"/>
    <w:rsid w:val="00B07620"/>
    <w:rsid w:val="00B07D82"/>
    <w:rsid w:val="00B10640"/>
    <w:rsid w:val="00B11932"/>
    <w:rsid w:val="00B1231E"/>
    <w:rsid w:val="00B13007"/>
    <w:rsid w:val="00B1314F"/>
    <w:rsid w:val="00B139FA"/>
    <w:rsid w:val="00B13AA8"/>
    <w:rsid w:val="00B14035"/>
    <w:rsid w:val="00B146C9"/>
    <w:rsid w:val="00B14F9D"/>
    <w:rsid w:val="00B150A7"/>
    <w:rsid w:val="00B151CF"/>
    <w:rsid w:val="00B15C88"/>
    <w:rsid w:val="00B17AC0"/>
    <w:rsid w:val="00B17F2B"/>
    <w:rsid w:val="00B20445"/>
    <w:rsid w:val="00B20DDD"/>
    <w:rsid w:val="00B21558"/>
    <w:rsid w:val="00B21578"/>
    <w:rsid w:val="00B2171B"/>
    <w:rsid w:val="00B21D8F"/>
    <w:rsid w:val="00B21EC5"/>
    <w:rsid w:val="00B223A0"/>
    <w:rsid w:val="00B2271E"/>
    <w:rsid w:val="00B228D1"/>
    <w:rsid w:val="00B23058"/>
    <w:rsid w:val="00B234E6"/>
    <w:rsid w:val="00B247AD"/>
    <w:rsid w:val="00B24C75"/>
    <w:rsid w:val="00B24CC0"/>
    <w:rsid w:val="00B25D05"/>
    <w:rsid w:val="00B260D7"/>
    <w:rsid w:val="00B26622"/>
    <w:rsid w:val="00B26669"/>
    <w:rsid w:val="00B2668F"/>
    <w:rsid w:val="00B276B4"/>
    <w:rsid w:val="00B30059"/>
    <w:rsid w:val="00B3038F"/>
    <w:rsid w:val="00B303F6"/>
    <w:rsid w:val="00B307B7"/>
    <w:rsid w:val="00B317B4"/>
    <w:rsid w:val="00B32625"/>
    <w:rsid w:val="00B331A1"/>
    <w:rsid w:val="00B33621"/>
    <w:rsid w:val="00B33ADB"/>
    <w:rsid w:val="00B34B10"/>
    <w:rsid w:val="00B34EA0"/>
    <w:rsid w:val="00B36028"/>
    <w:rsid w:val="00B367C5"/>
    <w:rsid w:val="00B37818"/>
    <w:rsid w:val="00B40053"/>
    <w:rsid w:val="00B40064"/>
    <w:rsid w:val="00B413B1"/>
    <w:rsid w:val="00B427DE"/>
    <w:rsid w:val="00B42C4E"/>
    <w:rsid w:val="00B42FDB"/>
    <w:rsid w:val="00B430F5"/>
    <w:rsid w:val="00B4448A"/>
    <w:rsid w:val="00B446C1"/>
    <w:rsid w:val="00B462B5"/>
    <w:rsid w:val="00B46317"/>
    <w:rsid w:val="00B46AE7"/>
    <w:rsid w:val="00B50053"/>
    <w:rsid w:val="00B50A44"/>
    <w:rsid w:val="00B50B41"/>
    <w:rsid w:val="00B51A09"/>
    <w:rsid w:val="00B52295"/>
    <w:rsid w:val="00B52E2E"/>
    <w:rsid w:val="00B537F3"/>
    <w:rsid w:val="00B53B7D"/>
    <w:rsid w:val="00B5451D"/>
    <w:rsid w:val="00B54CF4"/>
    <w:rsid w:val="00B552AC"/>
    <w:rsid w:val="00B55524"/>
    <w:rsid w:val="00B5560E"/>
    <w:rsid w:val="00B55A4A"/>
    <w:rsid w:val="00B56262"/>
    <w:rsid w:val="00B575BF"/>
    <w:rsid w:val="00B575CC"/>
    <w:rsid w:val="00B60634"/>
    <w:rsid w:val="00B607B8"/>
    <w:rsid w:val="00B608BE"/>
    <w:rsid w:val="00B61286"/>
    <w:rsid w:val="00B612EA"/>
    <w:rsid w:val="00B61C66"/>
    <w:rsid w:val="00B62604"/>
    <w:rsid w:val="00B62DF2"/>
    <w:rsid w:val="00B62FD9"/>
    <w:rsid w:val="00B65D7F"/>
    <w:rsid w:val="00B667FB"/>
    <w:rsid w:val="00B66A87"/>
    <w:rsid w:val="00B71037"/>
    <w:rsid w:val="00B712D0"/>
    <w:rsid w:val="00B7147E"/>
    <w:rsid w:val="00B7157E"/>
    <w:rsid w:val="00B71913"/>
    <w:rsid w:val="00B719ED"/>
    <w:rsid w:val="00B724B0"/>
    <w:rsid w:val="00B730AA"/>
    <w:rsid w:val="00B7491D"/>
    <w:rsid w:val="00B7527F"/>
    <w:rsid w:val="00B757E5"/>
    <w:rsid w:val="00B75FBF"/>
    <w:rsid w:val="00B76582"/>
    <w:rsid w:val="00B773C3"/>
    <w:rsid w:val="00B77A3A"/>
    <w:rsid w:val="00B77BC2"/>
    <w:rsid w:val="00B80384"/>
    <w:rsid w:val="00B80B3A"/>
    <w:rsid w:val="00B80D70"/>
    <w:rsid w:val="00B81207"/>
    <w:rsid w:val="00B81EA2"/>
    <w:rsid w:val="00B81F38"/>
    <w:rsid w:val="00B82208"/>
    <w:rsid w:val="00B82316"/>
    <w:rsid w:val="00B82586"/>
    <w:rsid w:val="00B82A5E"/>
    <w:rsid w:val="00B82AEE"/>
    <w:rsid w:val="00B82B95"/>
    <w:rsid w:val="00B82C95"/>
    <w:rsid w:val="00B82D1D"/>
    <w:rsid w:val="00B832D1"/>
    <w:rsid w:val="00B83B62"/>
    <w:rsid w:val="00B83DDD"/>
    <w:rsid w:val="00B83FEE"/>
    <w:rsid w:val="00B8535F"/>
    <w:rsid w:val="00B86171"/>
    <w:rsid w:val="00B86245"/>
    <w:rsid w:val="00B86401"/>
    <w:rsid w:val="00B878CD"/>
    <w:rsid w:val="00B9057E"/>
    <w:rsid w:val="00B91CB1"/>
    <w:rsid w:val="00B92182"/>
    <w:rsid w:val="00B9249B"/>
    <w:rsid w:val="00B94E66"/>
    <w:rsid w:val="00B94F6D"/>
    <w:rsid w:val="00B9536C"/>
    <w:rsid w:val="00B96BFC"/>
    <w:rsid w:val="00BA0686"/>
    <w:rsid w:val="00BA0C23"/>
    <w:rsid w:val="00BA1FFB"/>
    <w:rsid w:val="00BA2B3F"/>
    <w:rsid w:val="00BA309B"/>
    <w:rsid w:val="00BA333F"/>
    <w:rsid w:val="00BA46D6"/>
    <w:rsid w:val="00BA4E45"/>
    <w:rsid w:val="00BA4F8F"/>
    <w:rsid w:val="00BA5132"/>
    <w:rsid w:val="00BA5850"/>
    <w:rsid w:val="00BA59FB"/>
    <w:rsid w:val="00BA5A92"/>
    <w:rsid w:val="00BA6E55"/>
    <w:rsid w:val="00BA7551"/>
    <w:rsid w:val="00BB0065"/>
    <w:rsid w:val="00BB14A3"/>
    <w:rsid w:val="00BB1D32"/>
    <w:rsid w:val="00BB4331"/>
    <w:rsid w:val="00BB4F46"/>
    <w:rsid w:val="00BB5F8E"/>
    <w:rsid w:val="00BB6270"/>
    <w:rsid w:val="00BB6DE8"/>
    <w:rsid w:val="00BB7745"/>
    <w:rsid w:val="00BC0FB4"/>
    <w:rsid w:val="00BC158D"/>
    <w:rsid w:val="00BC15DE"/>
    <w:rsid w:val="00BC17C8"/>
    <w:rsid w:val="00BC29A0"/>
    <w:rsid w:val="00BC3607"/>
    <w:rsid w:val="00BC369C"/>
    <w:rsid w:val="00BC3CF7"/>
    <w:rsid w:val="00BC3FFA"/>
    <w:rsid w:val="00BC4972"/>
    <w:rsid w:val="00BC4AAE"/>
    <w:rsid w:val="00BC595B"/>
    <w:rsid w:val="00BC620E"/>
    <w:rsid w:val="00BC66BD"/>
    <w:rsid w:val="00BC6897"/>
    <w:rsid w:val="00BC6D01"/>
    <w:rsid w:val="00BC6D45"/>
    <w:rsid w:val="00BC6D92"/>
    <w:rsid w:val="00BC6EBC"/>
    <w:rsid w:val="00BC7139"/>
    <w:rsid w:val="00BC790A"/>
    <w:rsid w:val="00BC7E69"/>
    <w:rsid w:val="00BD0A75"/>
    <w:rsid w:val="00BD0F45"/>
    <w:rsid w:val="00BD1A87"/>
    <w:rsid w:val="00BD1AEC"/>
    <w:rsid w:val="00BD1B8D"/>
    <w:rsid w:val="00BD1F96"/>
    <w:rsid w:val="00BD33D4"/>
    <w:rsid w:val="00BD40B1"/>
    <w:rsid w:val="00BD509C"/>
    <w:rsid w:val="00BD5E3B"/>
    <w:rsid w:val="00BD64A7"/>
    <w:rsid w:val="00BD6FB4"/>
    <w:rsid w:val="00BD7A75"/>
    <w:rsid w:val="00BE0028"/>
    <w:rsid w:val="00BE2067"/>
    <w:rsid w:val="00BE325C"/>
    <w:rsid w:val="00BE3E37"/>
    <w:rsid w:val="00BE43A0"/>
    <w:rsid w:val="00BE452A"/>
    <w:rsid w:val="00BE47BF"/>
    <w:rsid w:val="00BE48DB"/>
    <w:rsid w:val="00BE5374"/>
    <w:rsid w:val="00BE627A"/>
    <w:rsid w:val="00BE6CE8"/>
    <w:rsid w:val="00BE6EAE"/>
    <w:rsid w:val="00BE6F19"/>
    <w:rsid w:val="00BE7A80"/>
    <w:rsid w:val="00BE7E19"/>
    <w:rsid w:val="00BF0111"/>
    <w:rsid w:val="00BF17DA"/>
    <w:rsid w:val="00BF1838"/>
    <w:rsid w:val="00BF3C79"/>
    <w:rsid w:val="00BF3CD3"/>
    <w:rsid w:val="00BF3D95"/>
    <w:rsid w:val="00BF4E1D"/>
    <w:rsid w:val="00BF698B"/>
    <w:rsid w:val="00BF6F1C"/>
    <w:rsid w:val="00BF7C54"/>
    <w:rsid w:val="00C00B30"/>
    <w:rsid w:val="00C00E60"/>
    <w:rsid w:val="00C01021"/>
    <w:rsid w:val="00C0114D"/>
    <w:rsid w:val="00C01D5F"/>
    <w:rsid w:val="00C02867"/>
    <w:rsid w:val="00C0345A"/>
    <w:rsid w:val="00C03511"/>
    <w:rsid w:val="00C036BA"/>
    <w:rsid w:val="00C04198"/>
    <w:rsid w:val="00C04848"/>
    <w:rsid w:val="00C04C3A"/>
    <w:rsid w:val="00C05700"/>
    <w:rsid w:val="00C057BC"/>
    <w:rsid w:val="00C0670E"/>
    <w:rsid w:val="00C07251"/>
    <w:rsid w:val="00C074CD"/>
    <w:rsid w:val="00C07FDC"/>
    <w:rsid w:val="00C107C3"/>
    <w:rsid w:val="00C10E02"/>
    <w:rsid w:val="00C114CE"/>
    <w:rsid w:val="00C1254C"/>
    <w:rsid w:val="00C12661"/>
    <w:rsid w:val="00C1334F"/>
    <w:rsid w:val="00C13520"/>
    <w:rsid w:val="00C1392C"/>
    <w:rsid w:val="00C141DE"/>
    <w:rsid w:val="00C1464E"/>
    <w:rsid w:val="00C14F98"/>
    <w:rsid w:val="00C14F9B"/>
    <w:rsid w:val="00C14FAB"/>
    <w:rsid w:val="00C156BE"/>
    <w:rsid w:val="00C1588F"/>
    <w:rsid w:val="00C158A0"/>
    <w:rsid w:val="00C15F42"/>
    <w:rsid w:val="00C1610B"/>
    <w:rsid w:val="00C1611D"/>
    <w:rsid w:val="00C16C9A"/>
    <w:rsid w:val="00C175E4"/>
    <w:rsid w:val="00C220B5"/>
    <w:rsid w:val="00C22361"/>
    <w:rsid w:val="00C232E0"/>
    <w:rsid w:val="00C23720"/>
    <w:rsid w:val="00C239F7"/>
    <w:rsid w:val="00C24150"/>
    <w:rsid w:val="00C24B5E"/>
    <w:rsid w:val="00C2534F"/>
    <w:rsid w:val="00C25492"/>
    <w:rsid w:val="00C25B39"/>
    <w:rsid w:val="00C26BC1"/>
    <w:rsid w:val="00C27166"/>
    <w:rsid w:val="00C30058"/>
    <w:rsid w:val="00C310ED"/>
    <w:rsid w:val="00C317A2"/>
    <w:rsid w:val="00C318B5"/>
    <w:rsid w:val="00C32E0B"/>
    <w:rsid w:val="00C343FC"/>
    <w:rsid w:val="00C34DAD"/>
    <w:rsid w:val="00C3651F"/>
    <w:rsid w:val="00C36633"/>
    <w:rsid w:val="00C36718"/>
    <w:rsid w:val="00C367B8"/>
    <w:rsid w:val="00C36E9D"/>
    <w:rsid w:val="00C37285"/>
    <w:rsid w:val="00C376F6"/>
    <w:rsid w:val="00C37C86"/>
    <w:rsid w:val="00C37DD7"/>
    <w:rsid w:val="00C40086"/>
    <w:rsid w:val="00C407EF"/>
    <w:rsid w:val="00C409E8"/>
    <w:rsid w:val="00C412B1"/>
    <w:rsid w:val="00C42725"/>
    <w:rsid w:val="00C4278D"/>
    <w:rsid w:val="00C4398E"/>
    <w:rsid w:val="00C4436C"/>
    <w:rsid w:val="00C44430"/>
    <w:rsid w:val="00C44748"/>
    <w:rsid w:val="00C45CFE"/>
    <w:rsid w:val="00C461B2"/>
    <w:rsid w:val="00C4643E"/>
    <w:rsid w:val="00C465F9"/>
    <w:rsid w:val="00C47C8E"/>
    <w:rsid w:val="00C5022A"/>
    <w:rsid w:val="00C50D70"/>
    <w:rsid w:val="00C514DE"/>
    <w:rsid w:val="00C515F0"/>
    <w:rsid w:val="00C52FD1"/>
    <w:rsid w:val="00C53045"/>
    <w:rsid w:val="00C5359B"/>
    <w:rsid w:val="00C5365C"/>
    <w:rsid w:val="00C53AF7"/>
    <w:rsid w:val="00C54A72"/>
    <w:rsid w:val="00C54C60"/>
    <w:rsid w:val="00C54D5D"/>
    <w:rsid w:val="00C54D8E"/>
    <w:rsid w:val="00C5541A"/>
    <w:rsid w:val="00C554B5"/>
    <w:rsid w:val="00C56001"/>
    <w:rsid w:val="00C567E7"/>
    <w:rsid w:val="00C56EF2"/>
    <w:rsid w:val="00C570A6"/>
    <w:rsid w:val="00C574E3"/>
    <w:rsid w:val="00C57855"/>
    <w:rsid w:val="00C579AA"/>
    <w:rsid w:val="00C579F3"/>
    <w:rsid w:val="00C600B3"/>
    <w:rsid w:val="00C603AB"/>
    <w:rsid w:val="00C604AC"/>
    <w:rsid w:val="00C6097A"/>
    <w:rsid w:val="00C60A6B"/>
    <w:rsid w:val="00C60DE1"/>
    <w:rsid w:val="00C6122E"/>
    <w:rsid w:val="00C61464"/>
    <w:rsid w:val="00C62000"/>
    <w:rsid w:val="00C622CB"/>
    <w:rsid w:val="00C632FF"/>
    <w:rsid w:val="00C64BE4"/>
    <w:rsid w:val="00C64D69"/>
    <w:rsid w:val="00C64FFD"/>
    <w:rsid w:val="00C66624"/>
    <w:rsid w:val="00C6705A"/>
    <w:rsid w:val="00C676D6"/>
    <w:rsid w:val="00C67C13"/>
    <w:rsid w:val="00C67E8E"/>
    <w:rsid w:val="00C702B9"/>
    <w:rsid w:val="00C70737"/>
    <w:rsid w:val="00C72177"/>
    <w:rsid w:val="00C732F8"/>
    <w:rsid w:val="00C7468D"/>
    <w:rsid w:val="00C74B8C"/>
    <w:rsid w:val="00C74C07"/>
    <w:rsid w:val="00C752E0"/>
    <w:rsid w:val="00C75352"/>
    <w:rsid w:val="00C7542F"/>
    <w:rsid w:val="00C75BB6"/>
    <w:rsid w:val="00C76868"/>
    <w:rsid w:val="00C7717B"/>
    <w:rsid w:val="00C77597"/>
    <w:rsid w:val="00C77B0E"/>
    <w:rsid w:val="00C80735"/>
    <w:rsid w:val="00C809E1"/>
    <w:rsid w:val="00C811C0"/>
    <w:rsid w:val="00C8147E"/>
    <w:rsid w:val="00C81FFB"/>
    <w:rsid w:val="00C821A4"/>
    <w:rsid w:val="00C8235C"/>
    <w:rsid w:val="00C8268F"/>
    <w:rsid w:val="00C82B6C"/>
    <w:rsid w:val="00C83227"/>
    <w:rsid w:val="00C83535"/>
    <w:rsid w:val="00C83D84"/>
    <w:rsid w:val="00C86BF9"/>
    <w:rsid w:val="00C870B4"/>
    <w:rsid w:val="00C87123"/>
    <w:rsid w:val="00C87436"/>
    <w:rsid w:val="00C87514"/>
    <w:rsid w:val="00C87E2E"/>
    <w:rsid w:val="00C91651"/>
    <w:rsid w:val="00C917A4"/>
    <w:rsid w:val="00C919A0"/>
    <w:rsid w:val="00C921AA"/>
    <w:rsid w:val="00C922A2"/>
    <w:rsid w:val="00C9243F"/>
    <w:rsid w:val="00C935A3"/>
    <w:rsid w:val="00C93F4F"/>
    <w:rsid w:val="00C94497"/>
    <w:rsid w:val="00C94B56"/>
    <w:rsid w:val="00C956BA"/>
    <w:rsid w:val="00C960A2"/>
    <w:rsid w:val="00C96BC8"/>
    <w:rsid w:val="00C97CEE"/>
    <w:rsid w:val="00CA26EA"/>
    <w:rsid w:val="00CA2FB2"/>
    <w:rsid w:val="00CA30A6"/>
    <w:rsid w:val="00CA37C8"/>
    <w:rsid w:val="00CA3D3A"/>
    <w:rsid w:val="00CA42D6"/>
    <w:rsid w:val="00CA5049"/>
    <w:rsid w:val="00CA528A"/>
    <w:rsid w:val="00CA587E"/>
    <w:rsid w:val="00CA5D3C"/>
    <w:rsid w:val="00CA5E66"/>
    <w:rsid w:val="00CA6576"/>
    <w:rsid w:val="00CA6BB2"/>
    <w:rsid w:val="00CA705F"/>
    <w:rsid w:val="00CA73B7"/>
    <w:rsid w:val="00CA7FEC"/>
    <w:rsid w:val="00CB03DD"/>
    <w:rsid w:val="00CB12CD"/>
    <w:rsid w:val="00CB15E9"/>
    <w:rsid w:val="00CB226C"/>
    <w:rsid w:val="00CB2BD5"/>
    <w:rsid w:val="00CB3F76"/>
    <w:rsid w:val="00CB53C5"/>
    <w:rsid w:val="00CB5458"/>
    <w:rsid w:val="00CB54A9"/>
    <w:rsid w:val="00CB5943"/>
    <w:rsid w:val="00CB5B62"/>
    <w:rsid w:val="00CB5C55"/>
    <w:rsid w:val="00CB5CF2"/>
    <w:rsid w:val="00CB5D08"/>
    <w:rsid w:val="00CB5D1E"/>
    <w:rsid w:val="00CB6155"/>
    <w:rsid w:val="00CB7139"/>
    <w:rsid w:val="00CB75E4"/>
    <w:rsid w:val="00CB7D28"/>
    <w:rsid w:val="00CC02B2"/>
    <w:rsid w:val="00CC0AE9"/>
    <w:rsid w:val="00CC0BC3"/>
    <w:rsid w:val="00CC0BF7"/>
    <w:rsid w:val="00CC1D1A"/>
    <w:rsid w:val="00CC23D2"/>
    <w:rsid w:val="00CC2680"/>
    <w:rsid w:val="00CC4651"/>
    <w:rsid w:val="00CC54A9"/>
    <w:rsid w:val="00CC5956"/>
    <w:rsid w:val="00CC6260"/>
    <w:rsid w:val="00CC70CA"/>
    <w:rsid w:val="00CC7234"/>
    <w:rsid w:val="00CC767B"/>
    <w:rsid w:val="00CC771D"/>
    <w:rsid w:val="00CC77C3"/>
    <w:rsid w:val="00CC788B"/>
    <w:rsid w:val="00CC7F5E"/>
    <w:rsid w:val="00CD06DD"/>
    <w:rsid w:val="00CD1404"/>
    <w:rsid w:val="00CD190F"/>
    <w:rsid w:val="00CD41A9"/>
    <w:rsid w:val="00CD4AB3"/>
    <w:rsid w:val="00CD5FCD"/>
    <w:rsid w:val="00CD6166"/>
    <w:rsid w:val="00CD67D9"/>
    <w:rsid w:val="00CD6869"/>
    <w:rsid w:val="00CD772E"/>
    <w:rsid w:val="00CD7744"/>
    <w:rsid w:val="00CD7BF2"/>
    <w:rsid w:val="00CE0B04"/>
    <w:rsid w:val="00CE0BA0"/>
    <w:rsid w:val="00CE0EEC"/>
    <w:rsid w:val="00CE28C0"/>
    <w:rsid w:val="00CE28E3"/>
    <w:rsid w:val="00CE35F8"/>
    <w:rsid w:val="00CE404E"/>
    <w:rsid w:val="00CE463D"/>
    <w:rsid w:val="00CE51C9"/>
    <w:rsid w:val="00CE6528"/>
    <w:rsid w:val="00CE657D"/>
    <w:rsid w:val="00CE68EB"/>
    <w:rsid w:val="00CE7555"/>
    <w:rsid w:val="00CE7598"/>
    <w:rsid w:val="00CE7ED1"/>
    <w:rsid w:val="00CF01EE"/>
    <w:rsid w:val="00CF0CAB"/>
    <w:rsid w:val="00CF198F"/>
    <w:rsid w:val="00CF1A2D"/>
    <w:rsid w:val="00CF1E36"/>
    <w:rsid w:val="00CF236F"/>
    <w:rsid w:val="00CF2692"/>
    <w:rsid w:val="00CF2913"/>
    <w:rsid w:val="00CF2C53"/>
    <w:rsid w:val="00CF439F"/>
    <w:rsid w:val="00CF5ADA"/>
    <w:rsid w:val="00CF6BB7"/>
    <w:rsid w:val="00CF6C09"/>
    <w:rsid w:val="00CF7034"/>
    <w:rsid w:val="00CF7120"/>
    <w:rsid w:val="00CF724C"/>
    <w:rsid w:val="00CF7D47"/>
    <w:rsid w:val="00D001B4"/>
    <w:rsid w:val="00D003B7"/>
    <w:rsid w:val="00D00850"/>
    <w:rsid w:val="00D00BDF"/>
    <w:rsid w:val="00D00E36"/>
    <w:rsid w:val="00D00EC3"/>
    <w:rsid w:val="00D010B6"/>
    <w:rsid w:val="00D017E0"/>
    <w:rsid w:val="00D02146"/>
    <w:rsid w:val="00D02678"/>
    <w:rsid w:val="00D027E1"/>
    <w:rsid w:val="00D02846"/>
    <w:rsid w:val="00D02AA0"/>
    <w:rsid w:val="00D02DE2"/>
    <w:rsid w:val="00D02F4F"/>
    <w:rsid w:val="00D0418A"/>
    <w:rsid w:val="00D04382"/>
    <w:rsid w:val="00D04BCB"/>
    <w:rsid w:val="00D04CB3"/>
    <w:rsid w:val="00D04FAA"/>
    <w:rsid w:val="00D0581F"/>
    <w:rsid w:val="00D05B0D"/>
    <w:rsid w:val="00D05FFA"/>
    <w:rsid w:val="00D06A95"/>
    <w:rsid w:val="00D06B87"/>
    <w:rsid w:val="00D073FD"/>
    <w:rsid w:val="00D07441"/>
    <w:rsid w:val="00D104DE"/>
    <w:rsid w:val="00D10619"/>
    <w:rsid w:val="00D10F27"/>
    <w:rsid w:val="00D120E9"/>
    <w:rsid w:val="00D12AB5"/>
    <w:rsid w:val="00D12D19"/>
    <w:rsid w:val="00D134FF"/>
    <w:rsid w:val="00D1393E"/>
    <w:rsid w:val="00D13FD4"/>
    <w:rsid w:val="00D14216"/>
    <w:rsid w:val="00D14E59"/>
    <w:rsid w:val="00D15079"/>
    <w:rsid w:val="00D15372"/>
    <w:rsid w:val="00D1649F"/>
    <w:rsid w:val="00D16939"/>
    <w:rsid w:val="00D17402"/>
    <w:rsid w:val="00D17A01"/>
    <w:rsid w:val="00D17F4A"/>
    <w:rsid w:val="00D20031"/>
    <w:rsid w:val="00D20D88"/>
    <w:rsid w:val="00D219ED"/>
    <w:rsid w:val="00D21CBA"/>
    <w:rsid w:val="00D22A4D"/>
    <w:rsid w:val="00D22BD0"/>
    <w:rsid w:val="00D22C8D"/>
    <w:rsid w:val="00D22CF7"/>
    <w:rsid w:val="00D23021"/>
    <w:rsid w:val="00D2413A"/>
    <w:rsid w:val="00D26844"/>
    <w:rsid w:val="00D26AB9"/>
    <w:rsid w:val="00D26D01"/>
    <w:rsid w:val="00D27598"/>
    <w:rsid w:val="00D30816"/>
    <w:rsid w:val="00D308FC"/>
    <w:rsid w:val="00D313B3"/>
    <w:rsid w:val="00D31899"/>
    <w:rsid w:val="00D31CFE"/>
    <w:rsid w:val="00D3287A"/>
    <w:rsid w:val="00D3292B"/>
    <w:rsid w:val="00D32B2B"/>
    <w:rsid w:val="00D33F02"/>
    <w:rsid w:val="00D358F7"/>
    <w:rsid w:val="00D36376"/>
    <w:rsid w:val="00D3648D"/>
    <w:rsid w:val="00D3662A"/>
    <w:rsid w:val="00D36A39"/>
    <w:rsid w:val="00D36E67"/>
    <w:rsid w:val="00D3725D"/>
    <w:rsid w:val="00D37B03"/>
    <w:rsid w:val="00D37EF5"/>
    <w:rsid w:val="00D4014E"/>
    <w:rsid w:val="00D40252"/>
    <w:rsid w:val="00D407A1"/>
    <w:rsid w:val="00D40A3E"/>
    <w:rsid w:val="00D414FB"/>
    <w:rsid w:val="00D419C9"/>
    <w:rsid w:val="00D428B9"/>
    <w:rsid w:val="00D42C55"/>
    <w:rsid w:val="00D43246"/>
    <w:rsid w:val="00D43CDE"/>
    <w:rsid w:val="00D43DDD"/>
    <w:rsid w:val="00D44A5B"/>
    <w:rsid w:val="00D45442"/>
    <w:rsid w:val="00D45750"/>
    <w:rsid w:val="00D457EA"/>
    <w:rsid w:val="00D45C42"/>
    <w:rsid w:val="00D45E70"/>
    <w:rsid w:val="00D47121"/>
    <w:rsid w:val="00D47882"/>
    <w:rsid w:val="00D479E3"/>
    <w:rsid w:val="00D47E72"/>
    <w:rsid w:val="00D52E54"/>
    <w:rsid w:val="00D52FF5"/>
    <w:rsid w:val="00D53B76"/>
    <w:rsid w:val="00D55144"/>
    <w:rsid w:val="00D55446"/>
    <w:rsid w:val="00D558B7"/>
    <w:rsid w:val="00D5641E"/>
    <w:rsid w:val="00D5688C"/>
    <w:rsid w:val="00D56955"/>
    <w:rsid w:val="00D56D8A"/>
    <w:rsid w:val="00D56DFA"/>
    <w:rsid w:val="00D56E47"/>
    <w:rsid w:val="00D573E0"/>
    <w:rsid w:val="00D5783F"/>
    <w:rsid w:val="00D6045A"/>
    <w:rsid w:val="00D60E22"/>
    <w:rsid w:val="00D60F86"/>
    <w:rsid w:val="00D61302"/>
    <w:rsid w:val="00D61C82"/>
    <w:rsid w:val="00D626F8"/>
    <w:rsid w:val="00D62F4D"/>
    <w:rsid w:val="00D63D3F"/>
    <w:rsid w:val="00D648C8"/>
    <w:rsid w:val="00D64906"/>
    <w:rsid w:val="00D649A6"/>
    <w:rsid w:val="00D64D6C"/>
    <w:rsid w:val="00D64E03"/>
    <w:rsid w:val="00D652D9"/>
    <w:rsid w:val="00D6605D"/>
    <w:rsid w:val="00D67D05"/>
    <w:rsid w:val="00D70DDA"/>
    <w:rsid w:val="00D71820"/>
    <w:rsid w:val="00D7236B"/>
    <w:rsid w:val="00D73387"/>
    <w:rsid w:val="00D737E5"/>
    <w:rsid w:val="00D73909"/>
    <w:rsid w:val="00D73AAB"/>
    <w:rsid w:val="00D73AD9"/>
    <w:rsid w:val="00D73E42"/>
    <w:rsid w:val="00D74017"/>
    <w:rsid w:val="00D744F2"/>
    <w:rsid w:val="00D7632A"/>
    <w:rsid w:val="00D77B20"/>
    <w:rsid w:val="00D80C29"/>
    <w:rsid w:val="00D818F3"/>
    <w:rsid w:val="00D81F90"/>
    <w:rsid w:val="00D821AA"/>
    <w:rsid w:val="00D8248A"/>
    <w:rsid w:val="00D8316D"/>
    <w:rsid w:val="00D8346E"/>
    <w:rsid w:val="00D83B51"/>
    <w:rsid w:val="00D83E71"/>
    <w:rsid w:val="00D84ECA"/>
    <w:rsid w:val="00D8525E"/>
    <w:rsid w:val="00D85E47"/>
    <w:rsid w:val="00D8612D"/>
    <w:rsid w:val="00D86B93"/>
    <w:rsid w:val="00D8727E"/>
    <w:rsid w:val="00D902B4"/>
    <w:rsid w:val="00D9041B"/>
    <w:rsid w:val="00D90780"/>
    <w:rsid w:val="00D90DBB"/>
    <w:rsid w:val="00D91045"/>
    <w:rsid w:val="00D9141D"/>
    <w:rsid w:val="00D91621"/>
    <w:rsid w:val="00D9195D"/>
    <w:rsid w:val="00D9276C"/>
    <w:rsid w:val="00D92D97"/>
    <w:rsid w:val="00D92DDB"/>
    <w:rsid w:val="00D934B7"/>
    <w:rsid w:val="00D93788"/>
    <w:rsid w:val="00D946BA"/>
    <w:rsid w:val="00D946C9"/>
    <w:rsid w:val="00D947F3"/>
    <w:rsid w:val="00D94A71"/>
    <w:rsid w:val="00D94B50"/>
    <w:rsid w:val="00D94C06"/>
    <w:rsid w:val="00D94CF3"/>
    <w:rsid w:val="00D95CEA"/>
    <w:rsid w:val="00D967A8"/>
    <w:rsid w:val="00D978C8"/>
    <w:rsid w:val="00D979A5"/>
    <w:rsid w:val="00D97AD8"/>
    <w:rsid w:val="00DA058E"/>
    <w:rsid w:val="00DA09DE"/>
    <w:rsid w:val="00DA121A"/>
    <w:rsid w:val="00DA1851"/>
    <w:rsid w:val="00DA196C"/>
    <w:rsid w:val="00DA3575"/>
    <w:rsid w:val="00DA3F96"/>
    <w:rsid w:val="00DA43EA"/>
    <w:rsid w:val="00DA512C"/>
    <w:rsid w:val="00DA6399"/>
    <w:rsid w:val="00DA66B6"/>
    <w:rsid w:val="00DA6765"/>
    <w:rsid w:val="00DA6A78"/>
    <w:rsid w:val="00DB003C"/>
    <w:rsid w:val="00DB0319"/>
    <w:rsid w:val="00DB10B5"/>
    <w:rsid w:val="00DB16FF"/>
    <w:rsid w:val="00DB198C"/>
    <w:rsid w:val="00DB1E91"/>
    <w:rsid w:val="00DB21B1"/>
    <w:rsid w:val="00DB222D"/>
    <w:rsid w:val="00DB282A"/>
    <w:rsid w:val="00DB34BD"/>
    <w:rsid w:val="00DB377F"/>
    <w:rsid w:val="00DB3B33"/>
    <w:rsid w:val="00DB4410"/>
    <w:rsid w:val="00DB47A9"/>
    <w:rsid w:val="00DB5117"/>
    <w:rsid w:val="00DB581C"/>
    <w:rsid w:val="00DB6031"/>
    <w:rsid w:val="00DB664A"/>
    <w:rsid w:val="00DB6D98"/>
    <w:rsid w:val="00DB7463"/>
    <w:rsid w:val="00DC14AF"/>
    <w:rsid w:val="00DC1720"/>
    <w:rsid w:val="00DC2805"/>
    <w:rsid w:val="00DC2F63"/>
    <w:rsid w:val="00DC34DB"/>
    <w:rsid w:val="00DC3633"/>
    <w:rsid w:val="00DC4108"/>
    <w:rsid w:val="00DC4EC7"/>
    <w:rsid w:val="00DC4F64"/>
    <w:rsid w:val="00DC4F73"/>
    <w:rsid w:val="00DC50C5"/>
    <w:rsid w:val="00DC5EB8"/>
    <w:rsid w:val="00DC620E"/>
    <w:rsid w:val="00DC63A1"/>
    <w:rsid w:val="00DC64A7"/>
    <w:rsid w:val="00DC6581"/>
    <w:rsid w:val="00DC6AF1"/>
    <w:rsid w:val="00DC796E"/>
    <w:rsid w:val="00DC7A8E"/>
    <w:rsid w:val="00DD0953"/>
    <w:rsid w:val="00DD1A95"/>
    <w:rsid w:val="00DD1AB2"/>
    <w:rsid w:val="00DD29AF"/>
    <w:rsid w:val="00DD2C81"/>
    <w:rsid w:val="00DD2D33"/>
    <w:rsid w:val="00DD2D77"/>
    <w:rsid w:val="00DD33FB"/>
    <w:rsid w:val="00DD3636"/>
    <w:rsid w:val="00DD41AD"/>
    <w:rsid w:val="00DD4695"/>
    <w:rsid w:val="00DD55E9"/>
    <w:rsid w:val="00DD591E"/>
    <w:rsid w:val="00DD5D51"/>
    <w:rsid w:val="00DD6734"/>
    <w:rsid w:val="00DE1656"/>
    <w:rsid w:val="00DE1BBD"/>
    <w:rsid w:val="00DE1ED6"/>
    <w:rsid w:val="00DE2496"/>
    <w:rsid w:val="00DE434A"/>
    <w:rsid w:val="00DE5C02"/>
    <w:rsid w:val="00DE7099"/>
    <w:rsid w:val="00DE728D"/>
    <w:rsid w:val="00DE74E0"/>
    <w:rsid w:val="00DF0BE8"/>
    <w:rsid w:val="00DF0FAA"/>
    <w:rsid w:val="00DF16BE"/>
    <w:rsid w:val="00DF19AE"/>
    <w:rsid w:val="00DF341B"/>
    <w:rsid w:val="00DF39E9"/>
    <w:rsid w:val="00DF4179"/>
    <w:rsid w:val="00DF431B"/>
    <w:rsid w:val="00DF4CAE"/>
    <w:rsid w:val="00DF578D"/>
    <w:rsid w:val="00DF5B73"/>
    <w:rsid w:val="00DF6482"/>
    <w:rsid w:val="00DF65FD"/>
    <w:rsid w:val="00DF694F"/>
    <w:rsid w:val="00DF72EA"/>
    <w:rsid w:val="00DF74D9"/>
    <w:rsid w:val="00DF7C01"/>
    <w:rsid w:val="00E0090E"/>
    <w:rsid w:val="00E0104B"/>
    <w:rsid w:val="00E035A8"/>
    <w:rsid w:val="00E0360B"/>
    <w:rsid w:val="00E03A6D"/>
    <w:rsid w:val="00E03A96"/>
    <w:rsid w:val="00E03D61"/>
    <w:rsid w:val="00E04EE7"/>
    <w:rsid w:val="00E05163"/>
    <w:rsid w:val="00E05D56"/>
    <w:rsid w:val="00E06358"/>
    <w:rsid w:val="00E066FE"/>
    <w:rsid w:val="00E06F73"/>
    <w:rsid w:val="00E079B8"/>
    <w:rsid w:val="00E105A9"/>
    <w:rsid w:val="00E1097B"/>
    <w:rsid w:val="00E109EE"/>
    <w:rsid w:val="00E10D8C"/>
    <w:rsid w:val="00E10F25"/>
    <w:rsid w:val="00E11647"/>
    <w:rsid w:val="00E11816"/>
    <w:rsid w:val="00E11836"/>
    <w:rsid w:val="00E11B67"/>
    <w:rsid w:val="00E12467"/>
    <w:rsid w:val="00E124BA"/>
    <w:rsid w:val="00E12854"/>
    <w:rsid w:val="00E12C41"/>
    <w:rsid w:val="00E12D2A"/>
    <w:rsid w:val="00E13962"/>
    <w:rsid w:val="00E14AF7"/>
    <w:rsid w:val="00E14F3D"/>
    <w:rsid w:val="00E14F66"/>
    <w:rsid w:val="00E15056"/>
    <w:rsid w:val="00E15098"/>
    <w:rsid w:val="00E15DB1"/>
    <w:rsid w:val="00E16E74"/>
    <w:rsid w:val="00E17399"/>
    <w:rsid w:val="00E174AE"/>
    <w:rsid w:val="00E17552"/>
    <w:rsid w:val="00E2146F"/>
    <w:rsid w:val="00E217E5"/>
    <w:rsid w:val="00E21B03"/>
    <w:rsid w:val="00E21C29"/>
    <w:rsid w:val="00E21F62"/>
    <w:rsid w:val="00E22445"/>
    <w:rsid w:val="00E22692"/>
    <w:rsid w:val="00E226A2"/>
    <w:rsid w:val="00E245A6"/>
    <w:rsid w:val="00E2490F"/>
    <w:rsid w:val="00E24A71"/>
    <w:rsid w:val="00E260A3"/>
    <w:rsid w:val="00E26D15"/>
    <w:rsid w:val="00E27CC8"/>
    <w:rsid w:val="00E27DDB"/>
    <w:rsid w:val="00E308EC"/>
    <w:rsid w:val="00E311D1"/>
    <w:rsid w:val="00E31702"/>
    <w:rsid w:val="00E31B75"/>
    <w:rsid w:val="00E32343"/>
    <w:rsid w:val="00E3242E"/>
    <w:rsid w:val="00E32AB8"/>
    <w:rsid w:val="00E330C9"/>
    <w:rsid w:val="00E332E5"/>
    <w:rsid w:val="00E3330E"/>
    <w:rsid w:val="00E3351F"/>
    <w:rsid w:val="00E33992"/>
    <w:rsid w:val="00E33E9F"/>
    <w:rsid w:val="00E341C3"/>
    <w:rsid w:val="00E3461E"/>
    <w:rsid w:val="00E349E0"/>
    <w:rsid w:val="00E34A91"/>
    <w:rsid w:val="00E34AB5"/>
    <w:rsid w:val="00E36939"/>
    <w:rsid w:val="00E36AD3"/>
    <w:rsid w:val="00E36CD0"/>
    <w:rsid w:val="00E37B04"/>
    <w:rsid w:val="00E40154"/>
    <w:rsid w:val="00E40BE9"/>
    <w:rsid w:val="00E40DAE"/>
    <w:rsid w:val="00E40E8A"/>
    <w:rsid w:val="00E40F62"/>
    <w:rsid w:val="00E4147F"/>
    <w:rsid w:val="00E41DC5"/>
    <w:rsid w:val="00E43249"/>
    <w:rsid w:val="00E436A2"/>
    <w:rsid w:val="00E43915"/>
    <w:rsid w:val="00E450A5"/>
    <w:rsid w:val="00E458D8"/>
    <w:rsid w:val="00E468CF"/>
    <w:rsid w:val="00E5177F"/>
    <w:rsid w:val="00E518A7"/>
    <w:rsid w:val="00E51BFB"/>
    <w:rsid w:val="00E529F5"/>
    <w:rsid w:val="00E5356B"/>
    <w:rsid w:val="00E537FE"/>
    <w:rsid w:val="00E53E00"/>
    <w:rsid w:val="00E540E4"/>
    <w:rsid w:val="00E54221"/>
    <w:rsid w:val="00E54F74"/>
    <w:rsid w:val="00E55A39"/>
    <w:rsid w:val="00E55AAA"/>
    <w:rsid w:val="00E561E1"/>
    <w:rsid w:val="00E5650A"/>
    <w:rsid w:val="00E569F9"/>
    <w:rsid w:val="00E574EC"/>
    <w:rsid w:val="00E578FA"/>
    <w:rsid w:val="00E57A28"/>
    <w:rsid w:val="00E57C6E"/>
    <w:rsid w:val="00E57F9C"/>
    <w:rsid w:val="00E615F9"/>
    <w:rsid w:val="00E616FC"/>
    <w:rsid w:val="00E61867"/>
    <w:rsid w:val="00E6193C"/>
    <w:rsid w:val="00E61EF2"/>
    <w:rsid w:val="00E61F4A"/>
    <w:rsid w:val="00E62BC2"/>
    <w:rsid w:val="00E630A9"/>
    <w:rsid w:val="00E632B2"/>
    <w:rsid w:val="00E6368C"/>
    <w:rsid w:val="00E63DAA"/>
    <w:rsid w:val="00E644CE"/>
    <w:rsid w:val="00E64C9C"/>
    <w:rsid w:val="00E66957"/>
    <w:rsid w:val="00E70D53"/>
    <w:rsid w:val="00E7221D"/>
    <w:rsid w:val="00E72659"/>
    <w:rsid w:val="00E72E8B"/>
    <w:rsid w:val="00E73601"/>
    <w:rsid w:val="00E7433C"/>
    <w:rsid w:val="00E753E9"/>
    <w:rsid w:val="00E7615F"/>
    <w:rsid w:val="00E7624D"/>
    <w:rsid w:val="00E76941"/>
    <w:rsid w:val="00E76A68"/>
    <w:rsid w:val="00E76AE0"/>
    <w:rsid w:val="00E773D1"/>
    <w:rsid w:val="00E77A41"/>
    <w:rsid w:val="00E80919"/>
    <w:rsid w:val="00E8197E"/>
    <w:rsid w:val="00E81A87"/>
    <w:rsid w:val="00E82961"/>
    <w:rsid w:val="00E836CC"/>
    <w:rsid w:val="00E83948"/>
    <w:rsid w:val="00E83CF9"/>
    <w:rsid w:val="00E84ADF"/>
    <w:rsid w:val="00E850F7"/>
    <w:rsid w:val="00E8696E"/>
    <w:rsid w:val="00E87494"/>
    <w:rsid w:val="00E9198D"/>
    <w:rsid w:val="00E91F46"/>
    <w:rsid w:val="00E92974"/>
    <w:rsid w:val="00E92F98"/>
    <w:rsid w:val="00E9331D"/>
    <w:rsid w:val="00E93549"/>
    <w:rsid w:val="00E941DE"/>
    <w:rsid w:val="00E95322"/>
    <w:rsid w:val="00E95490"/>
    <w:rsid w:val="00E9576A"/>
    <w:rsid w:val="00E95D90"/>
    <w:rsid w:val="00E95E54"/>
    <w:rsid w:val="00E96300"/>
    <w:rsid w:val="00E968C1"/>
    <w:rsid w:val="00E971F6"/>
    <w:rsid w:val="00E97A73"/>
    <w:rsid w:val="00EA0AC1"/>
    <w:rsid w:val="00EA0E54"/>
    <w:rsid w:val="00EA1769"/>
    <w:rsid w:val="00EA2D45"/>
    <w:rsid w:val="00EA3671"/>
    <w:rsid w:val="00EA5027"/>
    <w:rsid w:val="00EA5200"/>
    <w:rsid w:val="00EA6484"/>
    <w:rsid w:val="00EA6C5F"/>
    <w:rsid w:val="00EB07CD"/>
    <w:rsid w:val="00EB0DEA"/>
    <w:rsid w:val="00EB1F63"/>
    <w:rsid w:val="00EB27BC"/>
    <w:rsid w:val="00EB3633"/>
    <w:rsid w:val="00EB38C0"/>
    <w:rsid w:val="00EB3C28"/>
    <w:rsid w:val="00EB5D99"/>
    <w:rsid w:val="00EB5F9A"/>
    <w:rsid w:val="00EB6996"/>
    <w:rsid w:val="00EB6A32"/>
    <w:rsid w:val="00EB6DC2"/>
    <w:rsid w:val="00EB73B4"/>
    <w:rsid w:val="00EB76CE"/>
    <w:rsid w:val="00EB7B97"/>
    <w:rsid w:val="00EC0543"/>
    <w:rsid w:val="00EC159C"/>
    <w:rsid w:val="00EC282E"/>
    <w:rsid w:val="00EC33A0"/>
    <w:rsid w:val="00EC36A6"/>
    <w:rsid w:val="00EC3DF5"/>
    <w:rsid w:val="00EC4836"/>
    <w:rsid w:val="00EC4A6F"/>
    <w:rsid w:val="00EC5088"/>
    <w:rsid w:val="00EC5120"/>
    <w:rsid w:val="00EC54E1"/>
    <w:rsid w:val="00EC5F68"/>
    <w:rsid w:val="00EC67AA"/>
    <w:rsid w:val="00EC7DA6"/>
    <w:rsid w:val="00ED168A"/>
    <w:rsid w:val="00ED1B45"/>
    <w:rsid w:val="00ED1D2E"/>
    <w:rsid w:val="00ED2273"/>
    <w:rsid w:val="00ED2D64"/>
    <w:rsid w:val="00ED2E8E"/>
    <w:rsid w:val="00ED31AE"/>
    <w:rsid w:val="00ED335D"/>
    <w:rsid w:val="00ED4071"/>
    <w:rsid w:val="00ED5E38"/>
    <w:rsid w:val="00ED6DAC"/>
    <w:rsid w:val="00ED7DA4"/>
    <w:rsid w:val="00EE2F52"/>
    <w:rsid w:val="00EE3387"/>
    <w:rsid w:val="00EE3574"/>
    <w:rsid w:val="00EE3C72"/>
    <w:rsid w:val="00EE4246"/>
    <w:rsid w:val="00EE4337"/>
    <w:rsid w:val="00EE4490"/>
    <w:rsid w:val="00EE4553"/>
    <w:rsid w:val="00EE4EEF"/>
    <w:rsid w:val="00EE65CF"/>
    <w:rsid w:val="00EE6832"/>
    <w:rsid w:val="00EE7987"/>
    <w:rsid w:val="00EF042B"/>
    <w:rsid w:val="00EF169D"/>
    <w:rsid w:val="00EF1755"/>
    <w:rsid w:val="00EF295D"/>
    <w:rsid w:val="00EF2BB1"/>
    <w:rsid w:val="00EF2FCF"/>
    <w:rsid w:val="00EF3D58"/>
    <w:rsid w:val="00EF4282"/>
    <w:rsid w:val="00EF47C6"/>
    <w:rsid w:val="00EF7063"/>
    <w:rsid w:val="00EF7084"/>
    <w:rsid w:val="00EF7FEE"/>
    <w:rsid w:val="00F01AEE"/>
    <w:rsid w:val="00F01B80"/>
    <w:rsid w:val="00F024C6"/>
    <w:rsid w:val="00F037C0"/>
    <w:rsid w:val="00F038D3"/>
    <w:rsid w:val="00F03949"/>
    <w:rsid w:val="00F03B39"/>
    <w:rsid w:val="00F04052"/>
    <w:rsid w:val="00F04FED"/>
    <w:rsid w:val="00F06673"/>
    <w:rsid w:val="00F06961"/>
    <w:rsid w:val="00F06A2A"/>
    <w:rsid w:val="00F06FA6"/>
    <w:rsid w:val="00F0720B"/>
    <w:rsid w:val="00F0765C"/>
    <w:rsid w:val="00F07B51"/>
    <w:rsid w:val="00F1066F"/>
    <w:rsid w:val="00F109E6"/>
    <w:rsid w:val="00F11141"/>
    <w:rsid w:val="00F117DD"/>
    <w:rsid w:val="00F11F23"/>
    <w:rsid w:val="00F12224"/>
    <w:rsid w:val="00F12B5D"/>
    <w:rsid w:val="00F13829"/>
    <w:rsid w:val="00F13AFE"/>
    <w:rsid w:val="00F1415F"/>
    <w:rsid w:val="00F14201"/>
    <w:rsid w:val="00F143C0"/>
    <w:rsid w:val="00F1508C"/>
    <w:rsid w:val="00F1578E"/>
    <w:rsid w:val="00F20763"/>
    <w:rsid w:val="00F208DC"/>
    <w:rsid w:val="00F208F1"/>
    <w:rsid w:val="00F220F1"/>
    <w:rsid w:val="00F22360"/>
    <w:rsid w:val="00F227C8"/>
    <w:rsid w:val="00F22E61"/>
    <w:rsid w:val="00F23AE4"/>
    <w:rsid w:val="00F23CB7"/>
    <w:rsid w:val="00F257B5"/>
    <w:rsid w:val="00F2720E"/>
    <w:rsid w:val="00F27513"/>
    <w:rsid w:val="00F27684"/>
    <w:rsid w:val="00F2776D"/>
    <w:rsid w:val="00F27788"/>
    <w:rsid w:val="00F27D8E"/>
    <w:rsid w:val="00F31CF6"/>
    <w:rsid w:val="00F3303C"/>
    <w:rsid w:val="00F335E3"/>
    <w:rsid w:val="00F346E6"/>
    <w:rsid w:val="00F34814"/>
    <w:rsid w:val="00F356B6"/>
    <w:rsid w:val="00F3665F"/>
    <w:rsid w:val="00F36CA1"/>
    <w:rsid w:val="00F36E69"/>
    <w:rsid w:val="00F370D9"/>
    <w:rsid w:val="00F3797F"/>
    <w:rsid w:val="00F37D32"/>
    <w:rsid w:val="00F40864"/>
    <w:rsid w:val="00F4218D"/>
    <w:rsid w:val="00F42877"/>
    <w:rsid w:val="00F42BB1"/>
    <w:rsid w:val="00F44895"/>
    <w:rsid w:val="00F44C7A"/>
    <w:rsid w:val="00F46512"/>
    <w:rsid w:val="00F477BF"/>
    <w:rsid w:val="00F50585"/>
    <w:rsid w:val="00F50F16"/>
    <w:rsid w:val="00F516E3"/>
    <w:rsid w:val="00F5179A"/>
    <w:rsid w:val="00F521A1"/>
    <w:rsid w:val="00F53407"/>
    <w:rsid w:val="00F53581"/>
    <w:rsid w:val="00F54832"/>
    <w:rsid w:val="00F55099"/>
    <w:rsid w:val="00F55FC4"/>
    <w:rsid w:val="00F57194"/>
    <w:rsid w:val="00F57885"/>
    <w:rsid w:val="00F57B44"/>
    <w:rsid w:val="00F6123E"/>
    <w:rsid w:val="00F6140B"/>
    <w:rsid w:val="00F62CB5"/>
    <w:rsid w:val="00F62D14"/>
    <w:rsid w:val="00F63F39"/>
    <w:rsid w:val="00F66144"/>
    <w:rsid w:val="00F66E34"/>
    <w:rsid w:val="00F66FB5"/>
    <w:rsid w:val="00F6713F"/>
    <w:rsid w:val="00F67DAF"/>
    <w:rsid w:val="00F70073"/>
    <w:rsid w:val="00F7034F"/>
    <w:rsid w:val="00F70CC5"/>
    <w:rsid w:val="00F70E37"/>
    <w:rsid w:val="00F71854"/>
    <w:rsid w:val="00F71878"/>
    <w:rsid w:val="00F71F76"/>
    <w:rsid w:val="00F721CA"/>
    <w:rsid w:val="00F736D8"/>
    <w:rsid w:val="00F74B51"/>
    <w:rsid w:val="00F74D9B"/>
    <w:rsid w:val="00F772C3"/>
    <w:rsid w:val="00F804FD"/>
    <w:rsid w:val="00F81362"/>
    <w:rsid w:val="00F81C03"/>
    <w:rsid w:val="00F8251C"/>
    <w:rsid w:val="00F82D0C"/>
    <w:rsid w:val="00F849ED"/>
    <w:rsid w:val="00F854EE"/>
    <w:rsid w:val="00F87911"/>
    <w:rsid w:val="00F87E3E"/>
    <w:rsid w:val="00F91353"/>
    <w:rsid w:val="00F913B8"/>
    <w:rsid w:val="00F91477"/>
    <w:rsid w:val="00F91AFE"/>
    <w:rsid w:val="00F920F1"/>
    <w:rsid w:val="00F92F3E"/>
    <w:rsid w:val="00F93EF6"/>
    <w:rsid w:val="00F94F36"/>
    <w:rsid w:val="00F954B9"/>
    <w:rsid w:val="00F9560E"/>
    <w:rsid w:val="00F9625C"/>
    <w:rsid w:val="00F9672B"/>
    <w:rsid w:val="00F9684A"/>
    <w:rsid w:val="00F9700A"/>
    <w:rsid w:val="00F97807"/>
    <w:rsid w:val="00F97A93"/>
    <w:rsid w:val="00F97DAC"/>
    <w:rsid w:val="00FA0825"/>
    <w:rsid w:val="00FA08AD"/>
    <w:rsid w:val="00FA0DC2"/>
    <w:rsid w:val="00FA0E86"/>
    <w:rsid w:val="00FA16DF"/>
    <w:rsid w:val="00FA21E8"/>
    <w:rsid w:val="00FA2F27"/>
    <w:rsid w:val="00FA31D1"/>
    <w:rsid w:val="00FA3A21"/>
    <w:rsid w:val="00FA3D00"/>
    <w:rsid w:val="00FA3EAE"/>
    <w:rsid w:val="00FA4150"/>
    <w:rsid w:val="00FA47FD"/>
    <w:rsid w:val="00FA535C"/>
    <w:rsid w:val="00FA53D8"/>
    <w:rsid w:val="00FA5766"/>
    <w:rsid w:val="00FA6DCA"/>
    <w:rsid w:val="00FA6E09"/>
    <w:rsid w:val="00FA6ED8"/>
    <w:rsid w:val="00FA7535"/>
    <w:rsid w:val="00FA7B83"/>
    <w:rsid w:val="00FA7D7D"/>
    <w:rsid w:val="00FB2A05"/>
    <w:rsid w:val="00FB2A3E"/>
    <w:rsid w:val="00FB2CD0"/>
    <w:rsid w:val="00FB33C1"/>
    <w:rsid w:val="00FB3728"/>
    <w:rsid w:val="00FB44BC"/>
    <w:rsid w:val="00FB4961"/>
    <w:rsid w:val="00FB4E0B"/>
    <w:rsid w:val="00FB59CD"/>
    <w:rsid w:val="00FB620D"/>
    <w:rsid w:val="00FB62D9"/>
    <w:rsid w:val="00FB6D79"/>
    <w:rsid w:val="00FB6F67"/>
    <w:rsid w:val="00FB6FAB"/>
    <w:rsid w:val="00FB78FD"/>
    <w:rsid w:val="00FC0AD7"/>
    <w:rsid w:val="00FC10DE"/>
    <w:rsid w:val="00FC2D5F"/>
    <w:rsid w:val="00FC32C1"/>
    <w:rsid w:val="00FC5103"/>
    <w:rsid w:val="00FC52CE"/>
    <w:rsid w:val="00FC5603"/>
    <w:rsid w:val="00FC5D1B"/>
    <w:rsid w:val="00FC6364"/>
    <w:rsid w:val="00FC7154"/>
    <w:rsid w:val="00FC7B88"/>
    <w:rsid w:val="00FD0B28"/>
    <w:rsid w:val="00FD17BA"/>
    <w:rsid w:val="00FD21DC"/>
    <w:rsid w:val="00FD23C8"/>
    <w:rsid w:val="00FD269D"/>
    <w:rsid w:val="00FD2C9D"/>
    <w:rsid w:val="00FD2D3C"/>
    <w:rsid w:val="00FD2F74"/>
    <w:rsid w:val="00FD3B94"/>
    <w:rsid w:val="00FD40DD"/>
    <w:rsid w:val="00FD412F"/>
    <w:rsid w:val="00FD4169"/>
    <w:rsid w:val="00FD43B3"/>
    <w:rsid w:val="00FD467A"/>
    <w:rsid w:val="00FD6295"/>
    <w:rsid w:val="00FD63D0"/>
    <w:rsid w:val="00FD7830"/>
    <w:rsid w:val="00FE01B8"/>
    <w:rsid w:val="00FE0502"/>
    <w:rsid w:val="00FE088E"/>
    <w:rsid w:val="00FE1118"/>
    <w:rsid w:val="00FE113F"/>
    <w:rsid w:val="00FE1B25"/>
    <w:rsid w:val="00FE2B79"/>
    <w:rsid w:val="00FE37F8"/>
    <w:rsid w:val="00FE3A4D"/>
    <w:rsid w:val="00FE40E5"/>
    <w:rsid w:val="00FE41F6"/>
    <w:rsid w:val="00FE4739"/>
    <w:rsid w:val="00FE4DB2"/>
    <w:rsid w:val="00FE5306"/>
    <w:rsid w:val="00FE5AD4"/>
    <w:rsid w:val="00FE5C11"/>
    <w:rsid w:val="00FE681D"/>
    <w:rsid w:val="00FE6AFD"/>
    <w:rsid w:val="00FE6F2D"/>
    <w:rsid w:val="00FE710A"/>
    <w:rsid w:val="00FE74DF"/>
    <w:rsid w:val="00FE7A19"/>
    <w:rsid w:val="00FE7B6B"/>
    <w:rsid w:val="00FF07E6"/>
    <w:rsid w:val="00FF0D16"/>
    <w:rsid w:val="00FF0DBD"/>
    <w:rsid w:val="00FF10CB"/>
    <w:rsid w:val="00FF1D91"/>
    <w:rsid w:val="00FF2100"/>
    <w:rsid w:val="00FF26A9"/>
    <w:rsid w:val="00FF3A07"/>
    <w:rsid w:val="00FF3DFE"/>
    <w:rsid w:val="00FF3FEA"/>
    <w:rsid w:val="00FF4C68"/>
    <w:rsid w:val="00FF5450"/>
    <w:rsid w:val="00FF5873"/>
    <w:rsid w:val="00FF63AB"/>
    <w:rsid w:val="00FF70DE"/>
    <w:rsid w:val="00FF7391"/>
    <w:rsid w:val="00FF79B3"/>
    <w:rsid w:val="02CA4198"/>
    <w:rsid w:val="037ACFC9"/>
    <w:rsid w:val="03E9A7EE"/>
    <w:rsid w:val="03EE7282"/>
    <w:rsid w:val="040EB0A5"/>
    <w:rsid w:val="043E0F77"/>
    <w:rsid w:val="04F31990"/>
    <w:rsid w:val="05048669"/>
    <w:rsid w:val="060B9530"/>
    <w:rsid w:val="064E87DD"/>
    <w:rsid w:val="06645331"/>
    <w:rsid w:val="091F76DF"/>
    <w:rsid w:val="099165A9"/>
    <w:rsid w:val="0A172547"/>
    <w:rsid w:val="0AA78722"/>
    <w:rsid w:val="0B274C5A"/>
    <w:rsid w:val="0B72D46C"/>
    <w:rsid w:val="0CDB6C70"/>
    <w:rsid w:val="0CDF6F8C"/>
    <w:rsid w:val="0D16DEB9"/>
    <w:rsid w:val="0F2F6D29"/>
    <w:rsid w:val="0F70D9B8"/>
    <w:rsid w:val="0F88334B"/>
    <w:rsid w:val="11FAFD31"/>
    <w:rsid w:val="12A1008D"/>
    <w:rsid w:val="13ED7F39"/>
    <w:rsid w:val="14ADBF71"/>
    <w:rsid w:val="15172A0E"/>
    <w:rsid w:val="151E65F9"/>
    <w:rsid w:val="15E0D056"/>
    <w:rsid w:val="162AB2F0"/>
    <w:rsid w:val="16BDFD93"/>
    <w:rsid w:val="1752EFD6"/>
    <w:rsid w:val="17BF6250"/>
    <w:rsid w:val="17D1F262"/>
    <w:rsid w:val="17E2FEFD"/>
    <w:rsid w:val="18A690F1"/>
    <w:rsid w:val="18D79C8F"/>
    <w:rsid w:val="19CDE3E2"/>
    <w:rsid w:val="19D84958"/>
    <w:rsid w:val="1A51D69F"/>
    <w:rsid w:val="1BA6BB52"/>
    <w:rsid w:val="1DC01D4B"/>
    <w:rsid w:val="1E4B62EA"/>
    <w:rsid w:val="1E77AFE9"/>
    <w:rsid w:val="1F2A97B8"/>
    <w:rsid w:val="1F3E98FB"/>
    <w:rsid w:val="1F507BDC"/>
    <w:rsid w:val="202204D7"/>
    <w:rsid w:val="20362895"/>
    <w:rsid w:val="212D9BF5"/>
    <w:rsid w:val="21873A66"/>
    <w:rsid w:val="21F15FA1"/>
    <w:rsid w:val="226339BF"/>
    <w:rsid w:val="22933F74"/>
    <w:rsid w:val="23A9F2BA"/>
    <w:rsid w:val="254E18FB"/>
    <w:rsid w:val="255DB6C6"/>
    <w:rsid w:val="256B790B"/>
    <w:rsid w:val="25F5C7A9"/>
    <w:rsid w:val="26E8B47A"/>
    <w:rsid w:val="27A48D32"/>
    <w:rsid w:val="29115242"/>
    <w:rsid w:val="2A5B6DCC"/>
    <w:rsid w:val="2A601976"/>
    <w:rsid w:val="2A60D6F3"/>
    <w:rsid w:val="2A6CE7D9"/>
    <w:rsid w:val="2A980A16"/>
    <w:rsid w:val="2B170017"/>
    <w:rsid w:val="2B244FF4"/>
    <w:rsid w:val="2B50C4E3"/>
    <w:rsid w:val="2BFC612B"/>
    <w:rsid w:val="2C6A69F2"/>
    <w:rsid w:val="2CD7506B"/>
    <w:rsid w:val="2D3EFD35"/>
    <w:rsid w:val="2E68AEAA"/>
    <w:rsid w:val="2EE64F6A"/>
    <w:rsid w:val="2F7CBF05"/>
    <w:rsid w:val="3108D9C6"/>
    <w:rsid w:val="3153EB0E"/>
    <w:rsid w:val="3163906F"/>
    <w:rsid w:val="31F4E787"/>
    <w:rsid w:val="32DE3E5D"/>
    <w:rsid w:val="33165C5D"/>
    <w:rsid w:val="371E463A"/>
    <w:rsid w:val="377A2662"/>
    <w:rsid w:val="37DC0352"/>
    <w:rsid w:val="38850CD7"/>
    <w:rsid w:val="398E50B5"/>
    <w:rsid w:val="39EAF093"/>
    <w:rsid w:val="3A0CDD73"/>
    <w:rsid w:val="3A170397"/>
    <w:rsid w:val="3BB5D5C2"/>
    <w:rsid w:val="3C8F6AF6"/>
    <w:rsid w:val="3C9FD2F6"/>
    <w:rsid w:val="3D90549B"/>
    <w:rsid w:val="3EE4E7E8"/>
    <w:rsid w:val="3F19E537"/>
    <w:rsid w:val="3F430262"/>
    <w:rsid w:val="3F73AB47"/>
    <w:rsid w:val="3FBBCE83"/>
    <w:rsid w:val="401124DB"/>
    <w:rsid w:val="409850D1"/>
    <w:rsid w:val="40E1A335"/>
    <w:rsid w:val="427BC830"/>
    <w:rsid w:val="42823D75"/>
    <w:rsid w:val="43CE7BAD"/>
    <w:rsid w:val="446FF4EA"/>
    <w:rsid w:val="45C36BB6"/>
    <w:rsid w:val="46071B7F"/>
    <w:rsid w:val="46267A5C"/>
    <w:rsid w:val="46C58E22"/>
    <w:rsid w:val="47DCCEE1"/>
    <w:rsid w:val="48646D66"/>
    <w:rsid w:val="4A0F9C7A"/>
    <w:rsid w:val="4BB51202"/>
    <w:rsid w:val="4C892324"/>
    <w:rsid w:val="4D9C581D"/>
    <w:rsid w:val="4E5765AD"/>
    <w:rsid w:val="4E660AC4"/>
    <w:rsid w:val="4FF79E1E"/>
    <w:rsid w:val="5114FCC2"/>
    <w:rsid w:val="51AC6386"/>
    <w:rsid w:val="52F2A390"/>
    <w:rsid w:val="5500C968"/>
    <w:rsid w:val="550A1CFF"/>
    <w:rsid w:val="56369682"/>
    <w:rsid w:val="565F84D3"/>
    <w:rsid w:val="576C66FA"/>
    <w:rsid w:val="57B4D15B"/>
    <w:rsid w:val="57D19786"/>
    <w:rsid w:val="5A60517F"/>
    <w:rsid w:val="5A9FB728"/>
    <w:rsid w:val="5C068EFA"/>
    <w:rsid w:val="5C0D9032"/>
    <w:rsid w:val="5E1B52D7"/>
    <w:rsid w:val="5FA82194"/>
    <w:rsid w:val="5FB5E5A2"/>
    <w:rsid w:val="60D0CE02"/>
    <w:rsid w:val="61382CAD"/>
    <w:rsid w:val="6141DD2E"/>
    <w:rsid w:val="61FBF770"/>
    <w:rsid w:val="6232B151"/>
    <w:rsid w:val="624F9D55"/>
    <w:rsid w:val="63BFDE91"/>
    <w:rsid w:val="64224990"/>
    <w:rsid w:val="6439BE38"/>
    <w:rsid w:val="64660439"/>
    <w:rsid w:val="647A7992"/>
    <w:rsid w:val="6616D2F4"/>
    <w:rsid w:val="66580A3C"/>
    <w:rsid w:val="66F25BE6"/>
    <w:rsid w:val="680590CA"/>
    <w:rsid w:val="68BAC0A1"/>
    <w:rsid w:val="6B6028A3"/>
    <w:rsid w:val="6C04FD33"/>
    <w:rsid w:val="6C36FADC"/>
    <w:rsid w:val="6E5AEA0E"/>
    <w:rsid w:val="6EAD7636"/>
    <w:rsid w:val="6F15121E"/>
    <w:rsid w:val="6F362064"/>
    <w:rsid w:val="6F6EB3B1"/>
    <w:rsid w:val="71DE89BD"/>
    <w:rsid w:val="72836211"/>
    <w:rsid w:val="72B01DCA"/>
    <w:rsid w:val="73697476"/>
    <w:rsid w:val="73C5BEAE"/>
    <w:rsid w:val="73C9467C"/>
    <w:rsid w:val="74D042C6"/>
    <w:rsid w:val="754D60C5"/>
    <w:rsid w:val="7586F743"/>
    <w:rsid w:val="7632F573"/>
    <w:rsid w:val="768313D4"/>
    <w:rsid w:val="77099F32"/>
    <w:rsid w:val="776A044C"/>
    <w:rsid w:val="77A147F2"/>
    <w:rsid w:val="77B9B0D4"/>
    <w:rsid w:val="78941040"/>
    <w:rsid w:val="79DD67C5"/>
    <w:rsid w:val="7A4616F8"/>
    <w:rsid w:val="7B5D4F87"/>
    <w:rsid w:val="7B9F7C27"/>
    <w:rsid w:val="7E8EEF99"/>
    <w:rsid w:val="7F2BF4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Table HEADER PBAC,-H18"/>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Medium" w:hAnsi="Franklin Gothic Medium"/>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basedOn w:val="DefaultParagraphFont"/>
    <w:link w:val="Caption"/>
    <w:uiPriority w:val="35"/>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CMA Table Template,PBAC table,HTAtableplain,MSD Table Grid,Dossier table,Summary Table,PHE Table Grid,Lash Style Table,Section 3- footnotes,HealthConsult,YHEC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1,Figure_name"/>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C4398E"/>
    <w:pPr>
      <w:numPr>
        <w:numId w:val="3"/>
      </w:numPr>
      <w:spacing w:line="240" w:lineRule="auto"/>
      <w:ind w:left="357" w:hanging="357"/>
      <w:contextualSpacing/>
    </w:pPr>
    <w:rPr>
      <w:color w:val="000000" w:themeColor="text1"/>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uiPriority w:val="4"/>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uiPriority w:val="4"/>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GB"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Segoe UI Emoji" w:hAnsi="Segoe UI Emoji"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Segoe UI Emoji" w:hAnsi="Segoe UI Emoji"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Segoe UI Emoji" w:hAnsi="Segoe UI Emoji"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uiPriority w:val="6"/>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8"/>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9"/>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0"/>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ED7DA4"/>
    <w:rPr>
      <w:color w:val="605E5C"/>
      <w:shd w:val="clear" w:color="auto" w:fill="E1DFDD"/>
    </w:rPr>
  </w:style>
  <w:style w:type="paragraph" w:customStyle="1" w:styleId="FooterTableFigure">
    <w:name w:val="Footer Table/Figure"/>
    <w:basedOn w:val="Normal"/>
    <w:link w:val="FooterTableFigureChar"/>
    <w:qFormat/>
    <w:rsid w:val="00650693"/>
    <w:pPr>
      <w:spacing w:before="0" w:after="120" w:line="240" w:lineRule="auto"/>
      <w:contextualSpacing/>
      <w:jc w:val="both"/>
    </w:pPr>
    <w:rPr>
      <w:rFonts w:ascii="Arial Narrow" w:eastAsia="Times New Roman" w:hAnsi="Arial Narrow" w:cs="Arial"/>
      <w:snapToGrid w:val="0"/>
      <w:sz w:val="18"/>
      <w:lang w:eastAsia="en-AU"/>
    </w:rPr>
  </w:style>
  <w:style w:type="character" w:customStyle="1" w:styleId="FooterTableFigureChar">
    <w:name w:val="Footer Table/Figure Char"/>
    <w:link w:val="FooterTableFigure"/>
    <w:rsid w:val="00650693"/>
    <w:rPr>
      <w:rFonts w:ascii="Arial Narrow" w:eastAsia="Times New Roman" w:hAnsi="Arial Narrow" w:cs="Arial"/>
      <w:snapToGrid w:val="0"/>
      <w:sz w:val="18"/>
      <w:lang w:eastAsia="en-AU"/>
    </w:rPr>
  </w:style>
  <w:style w:type="paragraph" w:styleId="ListBullet">
    <w:name w:val="List Bullet"/>
    <w:basedOn w:val="Normal"/>
    <w:unhideWhenUsed/>
    <w:rsid w:val="00403510"/>
    <w:pPr>
      <w:numPr>
        <w:numId w:val="12"/>
      </w:numPr>
      <w:spacing w:before="0" w:after="0" w:line="240" w:lineRule="auto"/>
      <w:contextualSpacing/>
      <w:jc w:val="both"/>
    </w:pPr>
    <w:rPr>
      <w:rFonts w:ascii="Calibri" w:eastAsia="Times New Roman" w:hAnsi="Calibri" w:cs="Arial"/>
      <w:sz w:val="24"/>
      <w:szCs w:val="24"/>
      <w:lang w:eastAsia="en-AU"/>
    </w:rPr>
  </w:style>
  <w:style w:type="character" w:customStyle="1" w:styleId="3-BodyTextChar">
    <w:name w:val="3-Body Text Char"/>
    <w:basedOn w:val="DefaultParagraphFont"/>
    <w:link w:val="3-BodyText"/>
    <w:rsid w:val="00054427"/>
    <w:rPr>
      <w:rFonts w:eastAsia="Times New Roman" w:cs="Arial"/>
      <w:snapToGrid w:val="0"/>
      <w:sz w:val="24"/>
      <w:szCs w:val="24"/>
      <w:lang w:eastAsia="en-AU"/>
    </w:rPr>
  </w:style>
  <w:style w:type="paragraph" w:styleId="BodyText">
    <w:name w:val="Body Text"/>
    <w:basedOn w:val="Normal"/>
    <w:link w:val="BodyTextChar"/>
    <w:rsid w:val="003D4CFD"/>
    <w:pPr>
      <w:spacing w:before="0" w:after="0" w:line="240" w:lineRule="auto"/>
    </w:pPr>
    <w:rPr>
      <w:rFonts w:ascii="Calibri" w:eastAsia="Times New Roman" w:hAnsi="Calibri" w:cs="Arial"/>
      <w:sz w:val="24"/>
      <w:szCs w:val="24"/>
      <w:lang w:eastAsia="en-AU"/>
    </w:rPr>
  </w:style>
  <w:style w:type="character" w:customStyle="1" w:styleId="BodyTextChar">
    <w:name w:val="Body Text Char"/>
    <w:basedOn w:val="DefaultParagraphFont"/>
    <w:link w:val="BodyText"/>
    <w:rsid w:val="003D4CFD"/>
    <w:rPr>
      <w:rFonts w:ascii="Calibri" w:eastAsia="Times New Roman" w:hAnsi="Calibri" w:cs="Arial"/>
      <w:sz w:val="24"/>
      <w:szCs w:val="24"/>
      <w:lang w:eastAsia="en-AU"/>
    </w:rPr>
  </w:style>
  <w:style w:type="paragraph" w:customStyle="1" w:styleId="5-SubsectionSubheading">
    <w:name w:val="5-Subsection Subheading"/>
    <w:basedOn w:val="Heading3"/>
    <w:next w:val="3-BodyText"/>
    <w:link w:val="5-SubsectionSubheadingChar"/>
    <w:qFormat/>
    <w:rsid w:val="003D4CFD"/>
    <w:pPr>
      <w:tabs>
        <w:tab w:val="clear" w:pos="851"/>
      </w:tabs>
      <w:spacing w:before="160" w:after="120"/>
      <w:jc w:val="both"/>
    </w:pPr>
    <w:rPr>
      <w:rFonts w:asciiTheme="minorHAnsi" w:hAnsiTheme="minorHAnsi"/>
      <w:b/>
      <w:color w:val="000000" w:themeColor="text1"/>
      <w:lang w:eastAsia="en-AU"/>
    </w:rPr>
  </w:style>
  <w:style w:type="character" w:customStyle="1" w:styleId="5-SubsectionSubheadingChar">
    <w:name w:val="5-Subsection Subheading Char"/>
    <w:basedOn w:val="DefaultParagraphFont"/>
    <w:link w:val="5-SubsectionSubheading"/>
    <w:rsid w:val="003D4CFD"/>
    <w:rPr>
      <w:rFonts w:eastAsiaTheme="majorEastAsia" w:cstheme="majorBidi"/>
      <w:b/>
      <w:color w:val="000000" w:themeColor="text1"/>
      <w:sz w:val="24"/>
      <w:szCs w:val="24"/>
      <w:lang w:eastAsia="en-AU"/>
    </w:rPr>
  </w:style>
  <w:style w:type="table" w:customStyle="1" w:styleId="HTATableshaded">
    <w:name w:val="HTA Table shaded"/>
    <w:basedOn w:val="TableNormal"/>
    <w:rsid w:val="007575A9"/>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Mention">
    <w:name w:val="Mention"/>
    <w:basedOn w:val="DefaultParagraphFont"/>
    <w:uiPriority w:val="99"/>
    <w:unhideWhenUsed/>
    <w:rsid w:val="00064EF3"/>
    <w:rPr>
      <w:color w:val="2B579A"/>
      <w:shd w:val="clear" w:color="auto" w:fill="E1DFDD"/>
    </w:rPr>
  </w:style>
  <w:style w:type="character" w:customStyle="1" w:styleId="cf01">
    <w:name w:val="cf01"/>
    <w:basedOn w:val="DefaultParagraphFont"/>
    <w:rsid w:val="004610C3"/>
    <w:rPr>
      <w:rFonts w:ascii="Segoe UI" w:hAnsi="Segoe UI" w:cs="Segoe UI" w:hint="default"/>
      <w:sz w:val="18"/>
      <w:szCs w:val="18"/>
    </w:rPr>
  </w:style>
  <w:style w:type="paragraph" w:customStyle="1" w:styleId="Default">
    <w:name w:val="Default"/>
    <w:rsid w:val="00E37B04"/>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paragraph">
    <w:name w:val="paragraph"/>
    <w:basedOn w:val="Normal"/>
    <w:rsid w:val="00520B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20B37"/>
  </w:style>
  <w:style w:type="character" w:customStyle="1" w:styleId="eop">
    <w:name w:val="eop"/>
    <w:basedOn w:val="DefaultParagraphFont"/>
    <w:rsid w:val="00520B37"/>
  </w:style>
  <w:style w:type="paragraph" w:styleId="NormalWeb">
    <w:name w:val="Normal (Web)"/>
    <w:basedOn w:val="Normal"/>
    <w:uiPriority w:val="99"/>
    <w:unhideWhenUsed/>
    <w:rsid w:val="00A014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A01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46955946">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64128537">
      <w:bodyDiv w:val="1"/>
      <w:marLeft w:val="0"/>
      <w:marRight w:val="0"/>
      <w:marTop w:val="0"/>
      <w:marBottom w:val="0"/>
      <w:divBdr>
        <w:top w:val="none" w:sz="0" w:space="0" w:color="auto"/>
        <w:left w:val="none" w:sz="0" w:space="0" w:color="auto"/>
        <w:bottom w:val="none" w:sz="0" w:space="0" w:color="auto"/>
        <w:right w:val="none" w:sz="0" w:space="0" w:color="auto"/>
      </w:divBdr>
      <w:divsChild>
        <w:div w:id="1769157733">
          <w:marLeft w:val="547"/>
          <w:marRight w:val="0"/>
          <w:marTop w:val="134"/>
          <w:marBottom w:val="0"/>
          <w:divBdr>
            <w:top w:val="none" w:sz="0" w:space="0" w:color="auto"/>
            <w:left w:val="none" w:sz="0" w:space="0" w:color="auto"/>
            <w:bottom w:val="none" w:sz="0" w:space="0" w:color="auto"/>
            <w:right w:val="none" w:sz="0" w:space="0" w:color="auto"/>
          </w:divBdr>
        </w:div>
      </w:divsChild>
    </w:div>
    <w:div w:id="477889371">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28193416">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48845833">
      <w:bodyDiv w:val="1"/>
      <w:marLeft w:val="0"/>
      <w:marRight w:val="0"/>
      <w:marTop w:val="0"/>
      <w:marBottom w:val="0"/>
      <w:divBdr>
        <w:top w:val="none" w:sz="0" w:space="0" w:color="auto"/>
        <w:left w:val="none" w:sz="0" w:space="0" w:color="auto"/>
        <w:bottom w:val="none" w:sz="0" w:space="0" w:color="auto"/>
        <w:right w:val="none" w:sz="0" w:space="0" w:color="auto"/>
      </w:divBdr>
      <w:divsChild>
        <w:div w:id="228809103">
          <w:marLeft w:val="0"/>
          <w:marRight w:val="0"/>
          <w:marTop w:val="0"/>
          <w:marBottom w:val="0"/>
          <w:divBdr>
            <w:top w:val="none" w:sz="0" w:space="0" w:color="auto"/>
            <w:left w:val="none" w:sz="0" w:space="0" w:color="auto"/>
            <w:bottom w:val="none" w:sz="0" w:space="0" w:color="auto"/>
            <w:right w:val="none" w:sz="0" w:space="0" w:color="auto"/>
          </w:divBdr>
        </w:div>
        <w:div w:id="1239247824">
          <w:marLeft w:val="0"/>
          <w:marRight w:val="0"/>
          <w:marTop w:val="0"/>
          <w:marBottom w:val="0"/>
          <w:divBdr>
            <w:top w:val="none" w:sz="0" w:space="0" w:color="auto"/>
            <w:left w:val="none" w:sz="0" w:space="0" w:color="auto"/>
            <w:bottom w:val="none" w:sz="0" w:space="0" w:color="auto"/>
            <w:right w:val="none" w:sz="0" w:space="0" w:color="auto"/>
          </w:divBdr>
        </w:div>
        <w:div w:id="1629167031">
          <w:marLeft w:val="0"/>
          <w:marRight w:val="0"/>
          <w:marTop w:val="0"/>
          <w:marBottom w:val="0"/>
          <w:divBdr>
            <w:top w:val="none" w:sz="0" w:space="0" w:color="auto"/>
            <w:left w:val="none" w:sz="0" w:space="0" w:color="auto"/>
            <w:bottom w:val="none" w:sz="0" w:space="0" w:color="auto"/>
            <w:right w:val="none" w:sz="0" w:space="0" w:color="auto"/>
          </w:divBdr>
        </w:div>
        <w:div w:id="2082827894">
          <w:marLeft w:val="0"/>
          <w:marRight w:val="0"/>
          <w:marTop w:val="0"/>
          <w:marBottom w:val="0"/>
          <w:divBdr>
            <w:top w:val="none" w:sz="0" w:space="0" w:color="auto"/>
            <w:left w:val="none" w:sz="0" w:space="0" w:color="auto"/>
            <w:bottom w:val="none" w:sz="0" w:space="0" w:color="auto"/>
            <w:right w:val="none" w:sz="0" w:space="0" w:color="auto"/>
          </w:divBdr>
        </w:div>
      </w:divsChild>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38359062">
      <w:bodyDiv w:val="1"/>
      <w:marLeft w:val="0"/>
      <w:marRight w:val="0"/>
      <w:marTop w:val="0"/>
      <w:marBottom w:val="0"/>
      <w:divBdr>
        <w:top w:val="none" w:sz="0" w:space="0" w:color="auto"/>
        <w:left w:val="none" w:sz="0" w:space="0" w:color="auto"/>
        <w:bottom w:val="none" w:sz="0" w:space="0" w:color="auto"/>
        <w:right w:val="none" w:sz="0" w:space="0" w:color="auto"/>
      </w:divBdr>
      <w:divsChild>
        <w:div w:id="223687884">
          <w:marLeft w:val="0"/>
          <w:marRight w:val="0"/>
          <w:marTop w:val="0"/>
          <w:marBottom w:val="0"/>
          <w:divBdr>
            <w:top w:val="none" w:sz="0" w:space="0" w:color="auto"/>
            <w:left w:val="none" w:sz="0" w:space="0" w:color="auto"/>
            <w:bottom w:val="none" w:sz="0" w:space="0" w:color="auto"/>
            <w:right w:val="none" w:sz="0" w:space="0" w:color="auto"/>
          </w:divBdr>
        </w:div>
        <w:div w:id="241186411">
          <w:marLeft w:val="0"/>
          <w:marRight w:val="0"/>
          <w:marTop w:val="0"/>
          <w:marBottom w:val="0"/>
          <w:divBdr>
            <w:top w:val="none" w:sz="0" w:space="0" w:color="auto"/>
            <w:left w:val="none" w:sz="0" w:space="0" w:color="auto"/>
            <w:bottom w:val="none" w:sz="0" w:space="0" w:color="auto"/>
            <w:right w:val="none" w:sz="0" w:space="0" w:color="auto"/>
          </w:divBdr>
        </w:div>
        <w:div w:id="829712757">
          <w:marLeft w:val="0"/>
          <w:marRight w:val="0"/>
          <w:marTop w:val="0"/>
          <w:marBottom w:val="0"/>
          <w:divBdr>
            <w:top w:val="none" w:sz="0" w:space="0" w:color="auto"/>
            <w:left w:val="none" w:sz="0" w:space="0" w:color="auto"/>
            <w:bottom w:val="none" w:sz="0" w:space="0" w:color="auto"/>
            <w:right w:val="none" w:sz="0" w:space="0" w:color="auto"/>
          </w:divBdr>
        </w:div>
        <w:div w:id="1620991661">
          <w:marLeft w:val="0"/>
          <w:marRight w:val="0"/>
          <w:marTop w:val="0"/>
          <w:marBottom w:val="0"/>
          <w:divBdr>
            <w:top w:val="none" w:sz="0" w:space="0" w:color="auto"/>
            <w:left w:val="none" w:sz="0" w:space="0" w:color="auto"/>
            <w:bottom w:val="none" w:sz="0" w:space="0" w:color="auto"/>
            <w:right w:val="none" w:sz="0" w:space="0" w:color="auto"/>
          </w:divBdr>
        </w:div>
      </w:divsChild>
    </w:div>
    <w:div w:id="1039430579">
      <w:bodyDiv w:val="1"/>
      <w:marLeft w:val="0"/>
      <w:marRight w:val="0"/>
      <w:marTop w:val="0"/>
      <w:marBottom w:val="0"/>
      <w:divBdr>
        <w:top w:val="none" w:sz="0" w:space="0" w:color="auto"/>
        <w:left w:val="none" w:sz="0" w:space="0" w:color="auto"/>
        <w:bottom w:val="none" w:sz="0" w:space="0" w:color="auto"/>
        <w:right w:val="none" w:sz="0" w:space="0" w:color="auto"/>
      </w:divBdr>
    </w:div>
    <w:div w:id="1062286718">
      <w:bodyDiv w:val="1"/>
      <w:marLeft w:val="0"/>
      <w:marRight w:val="0"/>
      <w:marTop w:val="0"/>
      <w:marBottom w:val="0"/>
      <w:divBdr>
        <w:top w:val="none" w:sz="0" w:space="0" w:color="auto"/>
        <w:left w:val="none" w:sz="0" w:space="0" w:color="auto"/>
        <w:bottom w:val="none" w:sz="0" w:space="0" w:color="auto"/>
        <w:right w:val="none" w:sz="0" w:space="0" w:color="auto"/>
      </w:divBdr>
      <w:divsChild>
        <w:div w:id="1711496000">
          <w:marLeft w:val="0"/>
          <w:marRight w:val="0"/>
          <w:marTop w:val="0"/>
          <w:marBottom w:val="0"/>
          <w:divBdr>
            <w:top w:val="none" w:sz="0" w:space="0" w:color="auto"/>
            <w:left w:val="none" w:sz="0" w:space="0" w:color="auto"/>
            <w:bottom w:val="none" w:sz="0" w:space="0" w:color="auto"/>
            <w:right w:val="none" w:sz="0" w:space="0" w:color="auto"/>
          </w:divBdr>
          <w:divsChild>
            <w:div w:id="1458909824">
              <w:marLeft w:val="0"/>
              <w:marRight w:val="0"/>
              <w:marTop w:val="0"/>
              <w:marBottom w:val="0"/>
              <w:divBdr>
                <w:top w:val="none" w:sz="0" w:space="0" w:color="auto"/>
                <w:left w:val="none" w:sz="0" w:space="0" w:color="auto"/>
                <w:bottom w:val="none" w:sz="0" w:space="0" w:color="auto"/>
                <w:right w:val="none" w:sz="0" w:space="0" w:color="auto"/>
              </w:divBdr>
              <w:divsChild>
                <w:div w:id="632099887">
                  <w:marLeft w:val="0"/>
                  <w:marRight w:val="0"/>
                  <w:marTop w:val="0"/>
                  <w:marBottom w:val="0"/>
                  <w:divBdr>
                    <w:top w:val="none" w:sz="0" w:space="0" w:color="auto"/>
                    <w:left w:val="none" w:sz="0" w:space="0" w:color="auto"/>
                    <w:bottom w:val="none" w:sz="0" w:space="0" w:color="auto"/>
                    <w:right w:val="none" w:sz="0" w:space="0" w:color="auto"/>
                  </w:divBdr>
                  <w:divsChild>
                    <w:div w:id="14237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3496568">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68353916">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13669612">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4930984">
      <w:bodyDiv w:val="1"/>
      <w:marLeft w:val="0"/>
      <w:marRight w:val="0"/>
      <w:marTop w:val="0"/>
      <w:marBottom w:val="0"/>
      <w:divBdr>
        <w:top w:val="none" w:sz="0" w:space="0" w:color="auto"/>
        <w:left w:val="none" w:sz="0" w:space="0" w:color="auto"/>
        <w:bottom w:val="none" w:sz="0" w:space="0" w:color="auto"/>
        <w:right w:val="none" w:sz="0" w:space="0" w:color="auto"/>
      </w:divBdr>
      <w:divsChild>
        <w:div w:id="612252755">
          <w:marLeft w:val="547"/>
          <w:marRight w:val="0"/>
          <w:marTop w:val="86"/>
          <w:marBottom w:val="0"/>
          <w:divBdr>
            <w:top w:val="none" w:sz="0" w:space="0" w:color="auto"/>
            <w:left w:val="none" w:sz="0" w:space="0" w:color="auto"/>
            <w:bottom w:val="none" w:sz="0" w:space="0" w:color="auto"/>
            <w:right w:val="none" w:sz="0" w:space="0" w:color="auto"/>
          </w:divBdr>
        </w:div>
        <w:div w:id="960460284">
          <w:marLeft w:val="547"/>
          <w:marRight w:val="0"/>
          <w:marTop w:val="86"/>
          <w:marBottom w:val="0"/>
          <w:divBdr>
            <w:top w:val="none" w:sz="0" w:space="0" w:color="auto"/>
            <w:left w:val="none" w:sz="0" w:space="0" w:color="auto"/>
            <w:bottom w:val="none" w:sz="0" w:space="0" w:color="auto"/>
            <w:right w:val="none" w:sz="0" w:space="0" w:color="auto"/>
          </w:divBdr>
        </w:div>
      </w:divsChild>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691332">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22216398">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44805001">
      <w:bodyDiv w:val="1"/>
      <w:marLeft w:val="0"/>
      <w:marRight w:val="0"/>
      <w:marTop w:val="0"/>
      <w:marBottom w:val="0"/>
      <w:divBdr>
        <w:top w:val="none" w:sz="0" w:space="0" w:color="auto"/>
        <w:left w:val="none" w:sz="0" w:space="0" w:color="auto"/>
        <w:bottom w:val="none" w:sz="0" w:space="0" w:color="auto"/>
        <w:right w:val="none" w:sz="0" w:space="0" w:color="auto"/>
      </w:divBdr>
      <w:divsChild>
        <w:div w:id="546452934">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image" Target="media/image3.png"/><Relationship Id="rId18" Type="http://schemas.openxmlformats.org/officeDocument/2006/relationships/hyperlink" Target="https://www.pbs.gov.au/industry/listing/elements/pbac-meetings/psd/2023-03/files/olaparib-psd-03-2023.pdf" TargetMode="External"/><Relationship Id="rId26" Type="http://schemas.openxmlformats.org/officeDocument/2006/relationships/hyperlink" Target="http://www.msac.gov.au/internet/msac/publishing.nsf/Content/17CAAFF0DE32AC8FCA25883000065B8E/$File/1716%20Final%20PSD%20-%20Nov2023%20(redacted).pdf" TargetMode="External"/><Relationship Id="rId3" Type="http://schemas.openxmlformats.org/officeDocument/2006/relationships/styles" Target="styles.xml"/><Relationship Id="rId21" Type="http://schemas.openxmlformats.org/officeDocument/2006/relationships/hyperlink" Target="http://www.msac.gov.au/internet/msac/publishing.nsf/Content/1716-public"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msac.gov.au/internet/msac/publishing.nsf/Content/1716-public" TargetMode="External"/><Relationship Id="rId25" Type="http://schemas.openxmlformats.org/officeDocument/2006/relationships/hyperlink" Target="https://www.pbs.gov.au/industry/listing/elements/pbac-meetings/psd/2021-11/files/sacituzumab-govitecan-psd-nov-2021.pdf"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bs.gov.au/industry/listing/elements/pbac-meetings/psd/2023-03/files/olaparib-psd-03-2023.pdf" TargetMode="External"/><Relationship Id="rId20" Type="http://schemas.openxmlformats.org/officeDocument/2006/relationships/hyperlink" Target="https://www.pbs.gov.au/industry/listing/elements/pbac-meetings/psd/2023-03/files/olaparib-psd-03-2023.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pbs.gov.au/industry/listing/elements/pbac-meetings/psd/2023-11/files/trastuzumab-deruxtecan-psd-nov-2023.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sac.gov.au/internet/msac/publishing.nsf/Content/17CAAFF0DE32AC8FCA25883000065B8E/$File/1716%20Final%20PSD%20-%20Nov2023%20(redacted).pdf" TargetMode="External"/><Relationship Id="rId23" Type="http://schemas.openxmlformats.org/officeDocument/2006/relationships/hyperlink" Target="https://www.pbs.gov.au/industry/listing/elements/pbac-meetings/psd/2023-11/files/trastuzumab-deruxtecan-psd-nov-2023.pdf" TargetMode="External"/><Relationship Id="rId28" Type="http://schemas.openxmlformats.org/officeDocument/2006/relationships/hyperlink" Target="http://msac.gov.au/internet/msac/publishing.nsf/Content/Home-1" TargetMode="External"/><Relationship Id="rId36" Type="http://schemas.openxmlformats.org/officeDocument/2006/relationships/theme" Target="theme/theme1.xml"/><Relationship Id="rId10" Type="http://schemas.openxmlformats.org/officeDocument/2006/relationships/hyperlink" Target="https://www9.health.gov.au/mbs/fullDisplay.cfm?type=note&amp;qt=NoteID&amp;q=PN.0.23" TargetMode="External"/><Relationship Id="rId19" Type="http://schemas.openxmlformats.org/officeDocument/2006/relationships/hyperlink" Target="https://www.pbs.gov.au/industry/listing/elements/pbac-meetings/psd/2023-03/files/olaparib-psd-03-2023.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internet/msac/publishing.nsf/Content/C9C1B5F58153AEBACA25831A00831E86/$File/1554%20-%20Final%20PSD_Jul2020_redacted.pdf" TargetMode="External"/><Relationship Id="rId14" Type="http://schemas.openxmlformats.org/officeDocument/2006/relationships/hyperlink" Target="http://www.msac.gov.au/internet/msac/publishing.nsf/Content/1716-public" TargetMode="External"/><Relationship Id="rId22" Type="http://schemas.openxmlformats.org/officeDocument/2006/relationships/hyperlink" Target="https://www.pbs.gov.au/industry/listing/elements/pbac-meetings/psd/2022-03/files/sacituzumab-govitecan-psd-march-2022.pdf" TargetMode="External"/><Relationship Id="rId27" Type="http://schemas.openxmlformats.org/officeDocument/2006/relationships/hyperlink" Target="https://www9.health.gov.au/mbs/search.cfm?q=73297&amp;Submit=&amp;sopt=S"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bs.gov.au/industry/listing/elements/pbac-meetings/psd/2023-03/files/olaparib-psd-03-2023.pdf" TargetMode="External"/><Relationship Id="rId2" Type="http://schemas.openxmlformats.org/officeDocument/2006/relationships/hyperlink" Target="https://www.ebs.tga.gov.au/ebs/picmi/picmirepository.nsf/pdf?OpenAgent&amp;id=CP-2018-PI-01771-1&amp;d=20240703172310101" TargetMode="External"/><Relationship Id="rId1" Type="http://schemas.openxmlformats.org/officeDocument/2006/relationships/hyperlink" Target="http://www.msac.gov.au/internet/msac/publishing.nsf/Content/D7C6D4F0118A502BCA2581AA0019BD60/$File/1507_PICOConfirmat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17631</Words>
  <Characters>100499</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117895</CharactersWithSpaces>
  <SharedDoc>false</SharedDoc>
  <HyperlinkBase/>
  <HLinks>
    <vt:vector size="132" baseType="variant">
      <vt:variant>
        <vt:i4>6684716</vt:i4>
      </vt:variant>
      <vt:variant>
        <vt:i4>198</vt:i4>
      </vt:variant>
      <vt:variant>
        <vt:i4>0</vt:i4>
      </vt:variant>
      <vt:variant>
        <vt:i4>5</vt:i4>
      </vt:variant>
      <vt:variant>
        <vt:lpwstr>http://msac.gov.au/internet/msac/publishing.nsf/Content/Home-1</vt:lpwstr>
      </vt:variant>
      <vt:variant>
        <vt:lpwstr/>
      </vt:variant>
      <vt:variant>
        <vt:i4>1245268</vt:i4>
      </vt:variant>
      <vt:variant>
        <vt:i4>189</vt:i4>
      </vt:variant>
      <vt:variant>
        <vt:i4>0</vt:i4>
      </vt:variant>
      <vt:variant>
        <vt:i4>5</vt:i4>
      </vt:variant>
      <vt:variant>
        <vt:lpwstr>https://www9.health.gov.au/mbs/search.cfm?q=73297&amp;Submit=&amp;sopt=S</vt:lpwstr>
      </vt:variant>
      <vt:variant>
        <vt:lpwstr/>
      </vt:variant>
      <vt:variant>
        <vt:i4>6357098</vt:i4>
      </vt:variant>
      <vt:variant>
        <vt:i4>186</vt:i4>
      </vt:variant>
      <vt:variant>
        <vt:i4>0</vt:i4>
      </vt:variant>
      <vt:variant>
        <vt:i4>5</vt:i4>
      </vt:variant>
      <vt:variant>
        <vt:lpwstr>http://www.msac.gov.au/internet/msac/publishing.nsf/Content/17CAAFF0DE32AC8FCA25883000065B8E/$File/1716 Final PSD - Nov2023 (redacted).pdf</vt:lpwstr>
      </vt:variant>
      <vt:variant>
        <vt:lpwstr/>
      </vt:variant>
      <vt:variant>
        <vt:i4>2949227</vt:i4>
      </vt:variant>
      <vt:variant>
        <vt:i4>165</vt:i4>
      </vt:variant>
      <vt:variant>
        <vt:i4>0</vt:i4>
      </vt:variant>
      <vt:variant>
        <vt:i4>5</vt:i4>
      </vt:variant>
      <vt:variant>
        <vt:lpwstr>https://www.pbs.gov.au/industry/listing/elements/pbac-meetings/psd/2021-11/files/sacituzumab-govitecan-psd-nov-2021.pdf</vt:lpwstr>
      </vt:variant>
      <vt:variant>
        <vt:lpwstr/>
      </vt:variant>
      <vt:variant>
        <vt:i4>4718605</vt:i4>
      </vt:variant>
      <vt:variant>
        <vt:i4>159</vt:i4>
      </vt:variant>
      <vt:variant>
        <vt:i4>0</vt:i4>
      </vt:variant>
      <vt:variant>
        <vt:i4>5</vt:i4>
      </vt:variant>
      <vt:variant>
        <vt:lpwstr>https://www.pbs.gov.au/industry/listing/elements/pbac-meetings/psd/2023-11/files/trastuzumab-deruxtecan-psd-nov-2023.pdf</vt:lpwstr>
      </vt:variant>
      <vt:variant>
        <vt:lpwstr/>
      </vt:variant>
      <vt:variant>
        <vt:i4>4718605</vt:i4>
      </vt:variant>
      <vt:variant>
        <vt:i4>156</vt:i4>
      </vt:variant>
      <vt:variant>
        <vt:i4>0</vt:i4>
      </vt:variant>
      <vt:variant>
        <vt:i4>5</vt:i4>
      </vt:variant>
      <vt:variant>
        <vt:lpwstr>https://www.pbs.gov.au/industry/listing/elements/pbac-meetings/psd/2023-11/files/trastuzumab-deruxtecan-psd-nov-2023.pdf</vt:lpwstr>
      </vt:variant>
      <vt:variant>
        <vt:lpwstr/>
      </vt:variant>
      <vt:variant>
        <vt:i4>4194311</vt:i4>
      </vt:variant>
      <vt:variant>
        <vt:i4>153</vt:i4>
      </vt:variant>
      <vt:variant>
        <vt:i4>0</vt:i4>
      </vt:variant>
      <vt:variant>
        <vt:i4>5</vt:i4>
      </vt:variant>
      <vt:variant>
        <vt:lpwstr>https://www.pbs.gov.au/industry/listing/elements/pbac-meetings/psd/2022-03/files/sacituzumab-govitecan-psd-march-2022.pdf</vt:lpwstr>
      </vt:variant>
      <vt:variant>
        <vt:lpwstr/>
      </vt:variant>
      <vt:variant>
        <vt:i4>2556009</vt:i4>
      </vt:variant>
      <vt:variant>
        <vt:i4>150</vt:i4>
      </vt:variant>
      <vt:variant>
        <vt:i4>0</vt:i4>
      </vt:variant>
      <vt:variant>
        <vt:i4>5</vt:i4>
      </vt:variant>
      <vt:variant>
        <vt:lpwstr>http://www.msac.gov.au/internet/msac/publishing.nsf/Content/1716-public</vt:lpwstr>
      </vt:variant>
      <vt:variant>
        <vt:lpwstr/>
      </vt:variant>
      <vt:variant>
        <vt:i4>1835032</vt:i4>
      </vt:variant>
      <vt:variant>
        <vt:i4>147</vt:i4>
      </vt:variant>
      <vt:variant>
        <vt:i4>0</vt:i4>
      </vt:variant>
      <vt:variant>
        <vt:i4>5</vt:i4>
      </vt:variant>
      <vt:variant>
        <vt:lpwstr>https://www.pbs.gov.au/industry/listing/elements/pbac-meetings/psd/2023-03/files/olaparib-psd-03-2023.pdf</vt:lpwstr>
      </vt:variant>
      <vt:variant>
        <vt:lpwstr/>
      </vt:variant>
      <vt:variant>
        <vt:i4>1835032</vt:i4>
      </vt:variant>
      <vt:variant>
        <vt:i4>144</vt:i4>
      </vt:variant>
      <vt:variant>
        <vt:i4>0</vt:i4>
      </vt:variant>
      <vt:variant>
        <vt:i4>5</vt:i4>
      </vt:variant>
      <vt:variant>
        <vt:lpwstr>https://www.pbs.gov.au/industry/listing/elements/pbac-meetings/psd/2023-03/files/olaparib-psd-03-2023.pdf</vt:lpwstr>
      </vt:variant>
      <vt:variant>
        <vt:lpwstr/>
      </vt:variant>
      <vt:variant>
        <vt:i4>1835032</vt:i4>
      </vt:variant>
      <vt:variant>
        <vt:i4>141</vt:i4>
      </vt:variant>
      <vt:variant>
        <vt:i4>0</vt:i4>
      </vt:variant>
      <vt:variant>
        <vt:i4>5</vt:i4>
      </vt:variant>
      <vt:variant>
        <vt:lpwstr>https://www.pbs.gov.au/industry/listing/elements/pbac-meetings/psd/2023-03/files/olaparib-psd-03-2023.pdf</vt:lpwstr>
      </vt:variant>
      <vt:variant>
        <vt:lpwstr/>
      </vt:variant>
      <vt:variant>
        <vt:i4>2556009</vt:i4>
      </vt:variant>
      <vt:variant>
        <vt:i4>84</vt:i4>
      </vt:variant>
      <vt:variant>
        <vt:i4>0</vt:i4>
      </vt:variant>
      <vt:variant>
        <vt:i4>5</vt:i4>
      </vt:variant>
      <vt:variant>
        <vt:lpwstr>http://www.msac.gov.au/internet/msac/publishing.nsf/Content/1716-public</vt:lpwstr>
      </vt:variant>
      <vt:variant>
        <vt:lpwstr/>
      </vt:variant>
      <vt:variant>
        <vt:i4>1835032</vt:i4>
      </vt:variant>
      <vt:variant>
        <vt:i4>75</vt:i4>
      </vt:variant>
      <vt:variant>
        <vt:i4>0</vt:i4>
      </vt:variant>
      <vt:variant>
        <vt:i4>5</vt:i4>
      </vt:variant>
      <vt:variant>
        <vt:lpwstr>https://www.pbs.gov.au/industry/listing/elements/pbac-meetings/psd/2023-03/files/olaparib-psd-03-2023.pdf</vt:lpwstr>
      </vt:variant>
      <vt:variant>
        <vt:lpwstr/>
      </vt:variant>
      <vt:variant>
        <vt:i4>6357098</vt:i4>
      </vt:variant>
      <vt:variant>
        <vt:i4>66</vt:i4>
      </vt:variant>
      <vt:variant>
        <vt:i4>0</vt:i4>
      </vt:variant>
      <vt:variant>
        <vt:i4>5</vt:i4>
      </vt:variant>
      <vt:variant>
        <vt:lpwstr>http://www.msac.gov.au/internet/msac/publishing.nsf/Content/17CAAFF0DE32AC8FCA25883000065B8E/$File/1716 Final PSD - Nov2023 (redacted).pdf</vt:lpwstr>
      </vt:variant>
      <vt:variant>
        <vt:lpwstr/>
      </vt:variant>
      <vt:variant>
        <vt:i4>2556009</vt:i4>
      </vt:variant>
      <vt:variant>
        <vt:i4>63</vt:i4>
      </vt:variant>
      <vt:variant>
        <vt:i4>0</vt:i4>
      </vt:variant>
      <vt:variant>
        <vt:i4>5</vt:i4>
      </vt:variant>
      <vt:variant>
        <vt:lpwstr>http://www.msac.gov.au/internet/msac/publishing.nsf/Content/1716-public</vt:lpwstr>
      </vt:variant>
      <vt:variant>
        <vt:lpwstr/>
      </vt:variant>
      <vt:variant>
        <vt:i4>196699</vt:i4>
      </vt:variant>
      <vt:variant>
        <vt:i4>33</vt:i4>
      </vt:variant>
      <vt:variant>
        <vt:i4>0</vt:i4>
      </vt:variant>
      <vt:variant>
        <vt:i4>5</vt:i4>
      </vt:variant>
      <vt:variant>
        <vt:lpwstr>https://www9.health.gov.au/mbs/fullDisplay.cfm?type=note&amp;qt=NoteID&amp;q=PN.0.23</vt:lpwstr>
      </vt:variant>
      <vt:variant>
        <vt:lpwstr/>
      </vt:variant>
      <vt:variant>
        <vt:i4>327684</vt:i4>
      </vt:variant>
      <vt:variant>
        <vt:i4>21</vt:i4>
      </vt:variant>
      <vt:variant>
        <vt:i4>0</vt:i4>
      </vt:variant>
      <vt:variant>
        <vt:i4>5</vt:i4>
      </vt:variant>
      <vt:variant>
        <vt:lpwstr>http://www.msac.gov.au/internet/msac/publishing.nsf/Content/C9C1B5F58153AEBACA25831A00831E86/$File/1554 - Final PSD_Jul2020_redacted.pdf</vt:lpwstr>
      </vt:variant>
      <vt:variant>
        <vt:lpwstr/>
      </vt:variant>
      <vt:variant>
        <vt:i4>3997744</vt:i4>
      </vt:variant>
      <vt:variant>
        <vt:i4>0</vt:i4>
      </vt:variant>
      <vt:variant>
        <vt:i4>0</vt:i4>
      </vt:variant>
      <vt:variant>
        <vt:i4>5</vt:i4>
      </vt:variant>
      <vt:variant>
        <vt:lpwstr>http://www.msac.gov.au/</vt:lpwstr>
      </vt:variant>
      <vt:variant>
        <vt:lpwstr/>
      </vt:variant>
      <vt:variant>
        <vt:i4>1835032</vt:i4>
      </vt:variant>
      <vt:variant>
        <vt:i4>6</vt:i4>
      </vt:variant>
      <vt:variant>
        <vt:i4>0</vt:i4>
      </vt:variant>
      <vt:variant>
        <vt:i4>5</vt:i4>
      </vt:variant>
      <vt:variant>
        <vt:lpwstr>https://www.pbs.gov.au/industry/listing/elements/pbac-meetings/psd/2023-03/files/olaparib-psd-03-2023.pdf</vt:lpwstr>
      </vt:variant>
      <vt:variant>
        <vt:lpwstr/>
      </vt:variant>
      <vt:variant>
        <vt:i4>4980826</vt:i4>
      </vt:variant>
      <vt:variant>
        <vt:i4>3</vt:i4>
      </vt:variant>
      <vt:variant>
        <vt:i4>0</vt:i4>
      </vt:variant>
      <vt:variant>
        <vt:i4>5</vt:i4>
      </vt:variant>
      <vt:variant>
        <vt:lpwstr>https://www.ebs.tga.gov.au/ebs/picmi/picmirepository.nsf/pdf?OpenAgent&amp;id=CP-2018-PI-01771-1&amp;d=20240703172310101</vt:lpwstr>
      </vt:variant>
      <vt:variant>
        <vt:lpwstr/>
      </vt:variant>
      <vt:variant>
        <vt:i4>1835117</vt:i4>
      </vt:variant>
      <vt:variant>
        <vt:i4>0</vt:i4>
      </vt:variant>
      <vt:variant>
        <vt:i4>0</vt:i4>
      </vt:variant>
      <vt:variant>
        <vt:i4>5</vt:i4>
      </vt:variant>
      <vt:variant>
        <vt:lpwstr>http://www.msac.gov.au/internet/msac/publishing.nsf/Content/D7C6D4F0118A502BCA2581AA0019BD60/$File/1507_PICOConfirmation-FINAL.pdf</vt:lpwstr>
      </vt:variant>
      <vt:variant>
        <vt:lpwstr/>
      </vt:variant>
      <vt:variant>
        <vt:i4>1835032</vt:i4>
      </vt:variant>
      <vt:variant>
        <vt:i4>0</vt:i4>
      </vt:variant>
      <vt:variant>
        <vt:i4>0</vt:i4>
      </vt:variant>
      <vt:variant>
        <vt:i4>5</vt:i4>
      </vt:variant>
      <vt:variant>
        <vt:lpwstr>https://www.pbs.gov.au/industry/listing/elements/pbac-meetings/psd/2023-03/files/olaparib-psd-03-2023.pdf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2024-10-30T22:08:00Z</dcterms:created>
  <dcterms:modified xsi:type="dcterms:W3CDTF">2024-10-30T22:08:00Z</dcterms:modified>
  <cp:category/>
</cp:coreProperties>
</file>