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6B7B9" w14:textId="77777777" w:rsidR="00BC1364" w:rsidRPr="00707064" w:rsidRDefault="00C67DD2" w:rsidP="00F715D1">
      <w:pPr>
        <w:spacing w:after="240"/>
        <w:jc w:val="center"/>
        <w:rPr>
          <w:b/>
          <w:i/>
          <w:szCs w:val="24"/>
          <w:highlight w:val="yellow"/>
        </w:rPr>
      </w:pPr>
      <w:r>
        <w:rPr>
          <w:rFonts w:ascii="Arial" w:hAnsi="Arial" w:cs="Arial"/>
          <w:b/>
          <w:noProof/>
          <w:color w:val="000080"/>
          <w:sz w:val="28"/>
          <w:szCs w:val="28"/>
        </w:rPr>
        <w:drawing>
          <wp:inline distT="0" distB="0" distL="0" distR="0" wp14:anchorId="6C9734DF" wp14:editId="7FD447CB">
            <wp:extent cx="2627630" cy="1078865"/>
            <wp:effectExtent l="0" t="0" r="1270" b="6985"/>
            <wp:docPr id="2" name="Picture 2" descr="Medical Services Advisory Committ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7630" cy="1078865"/>
                    </a:xfrm>
                    <a:prstGeom prst="rect">
                      <a:avLst/>
                    </a:prstGeom>
                    <a:noFill/>
                  </pic:spPr>
                </pic:pic>
              </a:graphicData>
            </a:graphic>
          </wp:inline>
        </w:drawing>
      </w:r>
    </w:p>
    <w:p w14:paraId="5872E4AF" w14:textId="77777777" w:rsidR="00BC1364" w:rsidRPr="00F715D1" w:rsidRDefault="00F715D1" w:rsidP="00F715D1">
      <w:pPr>
        <w:pStyle w:val="Title"/>
        <w:tabs>
          <w:tab w:val="left" w:pos="1926"/>
          <w:tab w:val="center" w:pos="4513"/>
        </w:tabs>
        <w:jc w:val="left"/>
      </w:pPr>
      <w:r>
        <w:tab/>
      </w:r>
      <w:r>
        <w:tab/>
      </w:r>
      <w:r w:rsidR="00BF479B" w:rsidRPr="00F715D1">
        <w:t>Public Summary Document</w:t>
      </w:r>
    </w:p>
    <w:p w14:paraId="4ABBFB6B" w14:textId="229330D4" w:rsidR="00BC1364" w:rsidRPr="00F715D1" w:rsidRDefault="00BC1364" w:rsidP="00F715D1">
      <w:pPr>
        <w:pStyle w:val="Subtitle"/>
      </w:pPr>
      <w:r w:rsidRPr="00F715D1">
        <w:t xml:space="preserve">Application No. </w:t>
      </w:r>
      <w:r w:rsidR="000C3B2C" w:rsidRPr="00625EC8">
        <w:rPr>
          <w:szCs w:val="24"/>
        </w:rPr>
        <w:t>1618 – Testing of tumour prostate tissue to detect BRCA1/2</w:t>
      </w:r>
      <w:r w:rsidR="003B2B84">
        <w:rPr>
          <w:szCs w:val="24"/>
        </w:rPr>
        <w:t xml:space="preserve"> pathogenic </w:t>
      </w:r>
      <w:r w:rsidR="008E689B">
        <w:rPr>
          <w:szCs w:val="24"/>
        </w:rPr>
        <w:t xml:space="preserve">gene </w:t>
      </w:r>
      <w:r w:rsidR="003B2B84">
        <w:rPr>
          <w:szCs w:val="24"/>
        </w:rPr>
        <w:t>variants</w:t>
      </w:r>
      <w:r w:rsidR="000C3B2C" w:rsidRPr="00625EC8">
        <w:rPr>
          <w:szCs w:val="24"/>
        </w:rPr>
        <w:t xml:space="preserve"> in men with metastatic castration-resistant prostate cancer to </w:t>
      </w:r>
      <w:r w:rsidR="003B2B84">
        <w:rPr>
          <w:szCs w:val="24"/>
        </w:rPr>
        <w:t xml:space="preserve">help </w:t>
      </w:r>
      <w:r w:rsidR="000C3B2C" w:rsidRPr="00625EC8">
        <w:rPr>
          <w:szCs w:val="24"/>
        </w:rPr>
        <w:t xml:space="preserve">determine eligibility for </w:t>
      </w:r>
      <w:r w:rsidR="00CC3EAF">
        <w:rPr>
          <w:szCs w:val="24"/>
        </w:rPr>
        <w:t xml:space="preserve">PBS </w:t>
      </w:r>
      <w:r w:rsidR="000C3B2C" w:rsidRPr="00625EC8">
        <w:rPr>
          <w:szCs w:val="24"/>
        </w:rPr>
        <w:t>olaparib</w:t>
      </w:r>
    </w:p>
    <w:p w14:paraId="28A91CA7" w14:textId="77777777" w:rsidR="00BC1364" w:rsidRPr="00F715D1" w:rsidRDefault="00B35595" w:rsidP="008F60C0">
      <w:pPr>
        <w:tabs>
          <w:tab w:val="left" w:pos="2694"/>
          <w:tab w:val="left" w:pos="3686"/>
        </w:tabs>
        <w:spacing w:before="360" w:after="240"/>
        <w:rPr>
          <w:rFonts w:ascii="Arial" w:hAnsi="Arial" w:cs="Arial"/>
          <w:b/>
          <w:szCs w:val="24"/>
        </w:rPr>
      </w:pPr>
      <w:r w:rsidRPr="00F715D1">
        <w:rPr>
          <w:rFonts w:ascii="Arial" w:hAnsi="Arial" w:cs="Arial"/>
          <w:b/>
          <w:szCs w:val="24"/>
        </w:rPr>
        <w:t>Applicant</w:t>
      </w:r>
      <w:r w:rsidR="008D1722">
        <w:rPr>
          <w:rFonts w:ascii="Arial" w:hAnsi="Arial" w:cs="Arial"/>
          <w:b/>
          <w:szCs w:val="24"/>
        </w:rPr>
        <w:t>:</w:t>
      </w:r>
      <w:r w:rsidR="008D1722">
        <w:rPr>
          <w:rFonts w:ascii="Arial" w:hAnsi="Arial" w:cs="Arial"/>
          <w:b/>
          <w:szCs w:val="24"/>
        </w:rPr>
        <w:tab/>
      </w:r>
      <w:r w:rsidR="0022043C">
        <w:rPr>
          <w:rFonts w:ascii="Arial" w:hAnsi="Arial" w:cs="Arial"/>
          <w:b/>
          <w:szCs w:val="24"/>
        </w:rPr>
        <w:tab/>
      </w:r>
      <w:r w:rsidR="000C3B2C" w:rsidRPr="000C3B2C">
        <w:rPr>
          <w:rFonts w:ascii="Arial" w:hAnsi="Arial" w:cs="Arial"/>
          <w:b/>
          <w:szCs w:val="24"/>
        </w:rPr>
        <w:t>AstraZeneca Pty Ltd</w:t>
      </w:r>
    </w:p>
    <w:p w14:paraId="7ABCF1E7" w14:textId="77777777" w:rsidR="00BC1364" w:rsidRPr="00F715D1" w:rsidRDefault="00BC1364" w:rsidP="00D64355">
      <w:pPr>
        <w:tabs>
          <w:tab w:val="left" w:pos="3686"/>
        </w:tabs>
        <w:spacing w:after="240"/>
        <w:rPr>
          <w:rFonts w:ascii="Arial" w:hAnsi="Arial" w:cs="Arial"/>
          <w:b/>
          <w:szCs w:val="24"/>
        </w:rPr>
      </w:pPr>
      <w:r w:rsidRPr="00F715D1">
        <w:rPr>
          <w:rFonts w:ascii="Arial" w:hAnsi="Arial" w:cs="Arial"/>
          <w:b/>
          <w:szCs w:val="24"/>
        </w:rPr>
        <w:t>Date of MSAC consideration:</w:t>
      </w:r>
      <w:r w:rsidRPr="00F715D1">
        <w:rPr>
          <w:rFonts w:ascii="Arial" w:hAnsi="Arial" w:cs="Arial"/>
          <w:b/>
          <w:szCs w:val="24"/>
        </w:rPr>
        <w:tab/>
      </w:r>
      <w:r w:rsidR="004A4D40" w:rsidRPr="00F715D1">
        <w:rPr>
          <w:rFonts w:ascii="Arial" w:hAnsi="Arial" w:cs="Arial"/>
          <w:b/>
          <w:szCs w:val="24"/>
        </w:rPr>
        <w:t xml:space="preserve">MSAC </w:t>
      </w:r>
      <w:r w:rsidR="004A4D40">
        <w:rPr>
          <w:rFonts w:ascii="Arial" w:hAnsi="Arial" w:cs="Arial"/>
          <w:b/>
          <w:szCs w:val="24"/>
        </w:rPr>
        <w:t>81</w:t>
      </w:r>
      <w:r w:rsidR="004A4D40">
        <w:rPr>
          <w:rFonts w:ascii="Arial" w:hAnsi="Arial" w:cs="Arial"/>
          <w:b/>
          <w:szCs w:val="24"/>
          <w:vertAlign w:val="superscript"/>
        </w:rPr>
        <w:t>st</w:t>
      </w:r>
      <w:r w:rsidR="004A4D40" w:rsidRPr="00F715D1">
        <w:rPr>
          <w:rFonts w:ascii="Arial" w:hAnsi="Arial" w:cs="Arial"/>
          <w:b/>
          <w:szCs w:val="24"/>
        </w:rPr>
        <w:t xml:space="preserve"> Meeting, </w:t>
      </w:r>
      <w:r w:rsidR="004A4D40">
        <w:rPr>
          <w:rFonts w:ascii="Arial" w:hAnsi="Arial" w:cs="Arial"/>
          <w:b/>
          <w:szCs w:val="24"/>
        </w:rPr>
        <w:t>31 March – 1 April 2021</w:t>
      </w:r>
    </w:p>
    <w:p w14:paraId="3D9936CF" w14:textId="77777777" w:rsidR="0041184F" w:rsidRPr="00B03EAB" w:rsidRDefault="006A0D97" w:rsidP="00B03EAB">
      <w:pPr>
        <w:spacing w:after="360"/>
        <w:rPr>
          <w:color w:val="0000FF"/>
          <w:szCs w:val="24"/>
          <w:u w:val="single"/>
        </w:rPr>
      </w:pPr>
      <w:r w:rsidRPr="00F715D1">
        <w:rPr>
          <w:szCs w:val="24"/>
        </w:rPr>
        <w:t>Context for decision: MSAC makes its advice in accordance wit</w:t>
      </w:r>
      <w:r w:rsidR="00F715D1">
        <w:rPr>
          <w:szCs w:val="24"/>
        </w:rPr>
        <w:t>h its Terms of Reference,</w:t>
      </w:r>
      <w:r w:rsidRPr="00F715D1">
        <w:rPr>
          <w:szCs w:val="24"/>
        </w:rPr>
        <w:t xml:space="preserve"> </w:t>
      </w:r>
      <w:hyperlink r:id="rId9" w:tooltip="Link to Medical Services Advisory Committee website" w:history="1">
        <w:r w:rsidR="00F715D1" w:rsidRPr="00F715D1">
          <w:rPr>
            <w:rStyle w:val="Hyperlink"/>
            <w:szCs w:val="24"/>
          </w:rPr>
          <w:t>visit the MSAC website</w:t>
        </w:r>
      </w:hyperlink>
    </w:p>
    <w:p w14:paraId="39D881D6" w14:textId="198EA4CF" w:rsidR="003D7F29" w:rsidRPr="00F715D1" w:rsidRDefault="003D7F29" w:rsidP="00F715D1">
      <w:pPr>
        <w:pStyle w:val="Heading1"/>
      </w:pPr>
      <w:r w:rsidRPr="00F715D1">
        <w:t>Purpose of application</w:t>
      </w:r>
    </w:p>
    <w:p w14:paraId="41F9B207" w14:textId="612D2786" w:rsidR="0012086B" w:rsidRPr="00D3430D" w:rsidRDefault="0012086B" w:rsidP="0012086B">
      <w:r w:rsidRPr="00D3430D">
        <w:t xml:space="preserve">The integrated codependent </w:t>
      </w:r>
      <w:r w:rsidR="009240BF">
        <w:t>submission</w:t>
      </w:r>
      <w:r w:rsidRPr="00D3430D">
        <w:t xml:space="preserve"> requested:</w:t>
      </w:r>
    </w:p>
    <w:p w14:paraId="232F94BB" w14:textId="3EB78E72" w:rsidR="0012086B" w:rsidRPr="00D3430D" w:rsidRDefault="0012086B" w:rsidP="0012086B">
      <w:pPr>
        <w:numPr>
          <w:ilvl w:val="0"/>
          <w:numId w:val="26"/>
        </w:numPr>
        <w:contextualSpacing/>
      </w:pPr>
      <w:r w:rsidRPr="00D3430D">
        <w:t xml:space="preserve">Medicare Benefits Schedule (MBS) listing of next generation sequencing (NGS) for the evaluation of </w:t>
      </w:r>
      <w:r w:rsidRPr="00D3430D">
        <w:rPr>
          <w:i/>
        </w:rPr>
        <w:t>BRCA1/2</w:t>
      </w:r>
      <w:r w:rsidRPr="00D3430D">
        <w:t xml:space="preserve"> pathogenic or likely pathogenic gene variants (abbreviated to pathogenic </w:t>
      </w:r>
      <w:r w:rsidR="00F97785">
        <w:t xml:space="preserve">gene </w:t>
      </w:r>
      <w:r w:rsidRPr="00D3430D">
        <w:t xml:space="preserve">variants hereafter) to </w:t>
      </w:r>
      <w:r w:rsidR="003B2B84">
        <w:t xml:space="preserve">help </w:t>
      </w:r>
      <w:r w:rsidRPr="00D3430D">
        <w:t>determine eligibility for treatment with olaparib in patients with metastatic castration resistant prostate cancer (</w:t>
      </w:r>
      <w:proofErr w:type="spellStart"/>
      <w:r w:rsidRPr="00D3430D">
        <w:t>mCRPC</w:t>
      </w:r>
      <w:proofErr w:type="spellEnd"/>
      <w:r w:rsidRPr="00D3430D">
        <w:t>); and</w:t>
      </w:r>
    </w:p>
    <w:p w14:paraId="736989C5" w14:textId="19B4225F" w:rsidR="00C204FB" w:rsidRPr="0012086B" w:rsidRDefault="0012086B" w:rsidP="0012086B">
      <w:pPr>
        <w:numPr>
          <w:ilvl w:val="0"/>
          <w:numId w:val="26"/>
        </w:numPr>
        <w:contextualSpacing/>
      </w:pPr>
      <w:r w:rsidRPr="00D3430D">
        <w:t xml:space="preserve">Pharmaceutical Benefits Scheme (PBS) Section 85 General Schedule with Authority Required Telephone (initial) and Authority Required Streamlined (continuing) listing for treatment with olaparib for the treatment of </w:t>
      </w:r>
      <w:proofErr w:type="spellStart"/>
      <w:r w:rsidRPr="00D3430D">
        <w:t>mCRPC</w:t>
      </w:r>
      <w:proofErr w:type="spellEnd"/>
      <w:r w:rsidRPr="00D3430D">
        <w:t xml:space="preserve"> in patients who have evidence of </w:t>
      </w:r>
      <w:r w:rsidRPr="00D3430D">
        <w:rPr>
          <w:i/>
        </w:rPr>
        <w:t>BRCA1/2</w:t>
      </w:r>
      <w:r w:rsidRPr="00D3430D">
        <w:t xml:space="preserve"> pathogenic</w:t>
      </w:r>
      <w:r w:rsidR="00F97785" w:rsidRPr="00F97785">
        <w:t xml:space="preserve"> </w:t>
      </w:r>
      <w:r w:rsidR="00F97785">
        <w:t>gene</w:t>
      </w:r>
      <w:r w:rsidRPr="00D3430D">
        <w:t xml:space="preserve"> variants.</w:t>
      </w:r>
    </w:p>
    <w:p w14:paraId="32D7417B" w14:textId="77777777" w:rsidR="00E977EE" w:rsidRPr="00F715D1" w:rsidRDefault="00E977EE" w:rsidP="00F715D1">
      <w:pPr>
        <w:pStyle w:val="Heading1"/>
      </w:pPr>
      <w:r w:rsidRPr="00F715D1">
        <w:t>MSAC’s advice to the Minister</w:t>
      </w:r>
    </w:p>
    <w:p w14:paraId="55962839" w14:textId="20345663" w:rsidR="00CF7307" w:rsidRDefault="00D315F8" w:rsidP="00F715D1">
      <w:pPr>
        <w:pStyle w:val="Default"/>
        <w:spacing w:after="240"/>
        <w:rPr>
          <w:i/>
          <w:color w:val="auto"/>
        </w:rPr>
      </w:pPr>
      <w:r w:rsidRPr="001342D1">
        <w:rPr>
          <w:szCs w:val="20"/>
        </w:rPr>
        <w:t xml:space="preserve">After considering the strength of the available evidence in relation to comparative safety, </w:t>
      </w:r>
      <w:r>
        <w:rPr>
          <w:szCs w:val="20"/>
        </w:rPr>
        <w:t>clinical effectiveness and cost-</w:t>
      </w:r>
      <w:r w:rsidRPr="001342D1">
        <w:rPr>
          <w:szCs w:val="20"/>
        </w:rPr>
        <w:t xml:space="preserve">effectiveness, MSAC </w:t>
      </w:r>
      <w:r w:rsidRPr="00AB5ECD">
        <w:rPr>
          <w:szCs w:val="20"/>
        </w:rPr>
        <w:t xml:space="preserve">deferred its decision regarding testing for </w:t>
      </w:r>
      <w:r w:rsidRPr="00AB5ECD">
        <w:rPr>
          <w:i/>
          <w:szCs w:val="20"/>
        </w:rPr>
        <w:t>BRCA1/2</w:t>
      </w:r>
      <w:r w:rsidRPr="00AB5ECD">
        <w:rPr>
          <w:szCs w:val="20"/>
        </w:rPr>
        <w:t xml:space="preserve"> pathogenic </w:t>
      </w:r>
      <w:r w:rsidR="00F97785">
        <w:t xml:space="preserve">gene </w:t>
      </w:r>
      <w:r w:rsidRPr="00AB5ECD">
        <w:rPr>
          <w:szCs w:val="20"/>
        </w:rPr>
        <w:t xml:space="preserve">variants in </w:t>
      </w:r>
      <w:r w:rsidR="00FF4E23">
        <w:rPr>
          <w:szCs w:val="20"/>
        </w:rPr>
        <w:t xml:space="preserve">tumour </w:t>
      </w:r>
      <w:r w:rsidRPr="00AB5ECD">
        <w:rPr>
          <w:szCs w:val="20"/>
        </w:rPr>
        <w:t xml:space="preserve">tissue from men with metastatic castration-resistant prostate cancer. MSAC foreshadowed that it would </w:t>
      </w:r>
      <w:r>
        <w:rPr>
          <w:szCs w:val="20"/>
        </w:rPr>
        <w:t>rapidly</w:t>
      </w:r>
      <w:r w:rsidRPr="00AB5ECD">
        <w:rPr>
          <w:szCs w:val="20"/>
        </w:rPr>
        <w:t xml:space="preserve"> reconsider this testing if </w:t>
      </w:r>
      <w:r>
        <w:rPr>
          <w:szCs w:val="20"/>
        </w:rPr>
        <w:t>the Pharmaceutical Benefits Advisory Committee (</w:t>
      </w:r>
      <w:r w:rsidRPr="00AB5ECD">
        <w:rPr>
          <w:szCs w:val="20"/>
        </w:rPr>
        <w:t>PBAC</w:t>
      </w:r>
      <w:r>
        <w:rPr>
          <w:szCs w:val="20"/>
        </w:rPr>
        <w:t>)</w:t>
      </w:r>
      <w:r w:rsidRPr="00AB5ECD">
        <w:rPr>
          <w:szCs w:val="20"/>
        </w:rPr>
        <w:t xml:space="preserve"> recommends olaparib for those patients in this population in whom a </w:t>
      </w:r>
      <w:r w:rsidRPr="00AB5ECD">
        <w:rPr>
          <w:i/>
          <w:szCs w:val="20"/>
        </w:rPr>
        <w:t>BRCA1/2</w:t>
      </w:r>
      <w:r w:rsidRPr="00AB5ECD">
        <w:rPr>
          <w:szCs w:val="20"/>
        </w:rPr>
        <w:t xml:space="preserve"> pathogenic</w:t>
      </w:r>
      <w:r w:rsidR="00F97785" w:rsidRPr="00F97785">
        <w:t xml:space="preserve"> </w:t>
      </w:r>
      <w:r w:rsidR="00F97785">
        <w:t>gene</w:t>
      </w:r>
      <w:r w:rsidRPr="00AB5ECD">
        <w:rPr>
          <w:szCs w:val="20"/>
        </w:rPr>
        <w:t xml:space="preserve"> variant is detected.</w:t>
      </w:r>
    </w:p>
    <w:tbl>
      <w:tblPr>
        <w:tblStyle w:val="TableGrid"/>
        <w:tblW w:w="0" w:type="auto"/>
        <w:tblLook w:val="04A0" w:firstRow="1" w:lastRow="0" w:firstColumn="1" w:lastColumn="0" w:noHBand="0" w:noVBand="1"/>
        <w:tblDescription w:val="Consumer summary of MSAC consideration"/>
      </w:tblPr>
      <w:tblGrid>
        <w:gridCol w:w="9016"/>
      </w:tblGrid>
      <w:tr w:rsidR="000663AA" w14:paraId="07F56876" w14:textId="77777777" w:rsidTr="004967B0">
        <w:trPr>
          <w:tblHeader/>
        </w:trPr>
        <w:tc>
          <w:tcPr>
            <w:tcW w:w="9016" w:type="dxa"/>
          </w:tcPr>
          <w:p w14:paraId="7C91FF20" w14:textId="77777777" w:rsidR="000663AA" w:rsidRPr="000663AA" w:rsidRDefault="000663AA" w:rsidP="000663AA">
            <w:pPr>
              <w:pStyle w:val="Default"/>
              <w:spacing w:before="120" w:after="120"/>
              <w:rPr>
                <w:b/>
                <w:color w:val="auto"/>
              </w:rPr>
            </w:pPr>
            <w:r w:rsidRPr="00C06B0B">
              <w:rPr>
                <w:b/>
                <w:color w:val="auto"/>
              </w:rPr>
              <w:t>Consumer summary</w:t>
            </w:r>
          </w:p>
        </w:tc>
      </w:tr>
      <w:tr w:rsidR="000663AA" w14:paraId="08C2DDEF" w14:textId="77777777" w:rsidTr="000663AA">
        <w:tc>
          <w:tcPr>
            <w:tcW w:w="9016" w:type="dxa"/>
          </w:tcPr>
          <w:p w14:paraId="6CB537D4" w14:textId="790C9DF7" w:rsidR="00D315F8" w:rsidRDefault="00D315F8" w:rsidP="00F715D1">
            <w:pPr>
              <w:pStyle w:val="Default"/>
              <w:spacing w:after="240"/>
            </w:pPr>
            <w:r>
              <w:t>This application was from AstraZeneca</w:t>
            </w:r>
            <w:r w:rsidR="003B2B84">
              <w:t xml:space="preserve"> Pty Ltd</w:t>
            </w:r>
            <w:r>
              <w:t xml:space="preserve">. The application was for listing genetic testing for </w:t>
            </w:r>
            <w:r w:rsidRPr="00AE5987">
              <w:rPr>
                <w:i/>
                <w:iCs/>
              </w:rPr>
              <w:t>BRCA1/2</w:t>
            </w:r>
            <w:r>
              <w:t xml:space="preserve"> </w:t>
            </w:r>
            <w:r w:rsidR="0038228F">
              <w:t xml:space="preserve">pathogenic </w:t>
            </w:r>
            <w:r w:rsidR="00F97785">
              <w:t xml:space="preserve">gene </w:t>
            </w:r>
            <w:r w:rsidR="0038228F">
              <w:t xml:space="preserve">variants </w:t>
            </w:r>
            <w:r>
              <w:t xml:space="preserve">on the Medicare Benefits Schedule (MBS) for people with </w:t>
            </w:r>
            <w:r w:rsidRPr="0043299D">
              <w:t>metastatic castration-resistant prostate cancer</w:t>
            </w:r>
            <w:r>
              <w:t xml:space="preserve"> who have been already treated with hormone</w:t>
            </w:r>
            <w:r w:rsidR="00C33323">
              <w:t xml:space="preserve"> treatment</w:t>
            </w:r>
            <w:r>
              <w:t xml:space="preserve">. If the genetic test </w:t>
            </w:r>
            <w:r w:rsidR="003B2B84">
              <w:t xml:space="preserve">result </w:t>
            </w:r>
            <w:r>
              <w:t>is positive,</w:t>
            </w:r>
            <w:r w:rsidRPr="00E21867">
              <w:t xml:space="preserve"> </w:t>
            </w:r>
            <w:r>
              <w:t xml:space="preserve">the person </w:t>
            </w:r>
            <w:r w:rsidR="003B2B84">
              <w:t>c</w:t>
            </w:r>
            <w:r>
              <w:t xml:space="preserve">ould </w:t>
            </w:r>
            <w:r w:rsidR="003B2B84">
              <w:t xml:space="preserve">then </w:t>
            </w:r>
            <w:r>
              <w:t xml:space="preserve">be eligible to receive a </w:t>
            </w:r>
            <w:r w:rsidR="003B2B84">
              <w:t>medicine</w:t>
            </w:r>
            <w:r>
              <w:t xml:space="preserve"> called olaparib</w:t>
            </w:r>
            <w:r w:rsidRPr="00CF52AF">
              <w:t xml:space="preserve"> </w:t>
            </w:r>
            <w:r>
              <w:t xml:space="preserve">on the Pharmaceutical Benefits Scheme </w:t>
            </w:r>
            <w:r>
              <w:lastRenderedPageBreak/>
              <w:t>(PBS).</w:t>
            </w:r>
            <w:r w:rsidRPr="001F207D">
              <w:t xml:space="preserve"> </w:t>
            </w:r>
            <w:r>
              <w:t xml:space="preserve">Olaparib </w:t>
            </w:r>
            <w:r w:rsidR="00FF4E23">
              <w:t xml:space="preserve">has been shown to </w:t>
            </w:r>
            <w:r>
              <w:t xml:space="preserve">improve </w:t>
            </w:r>
            <w:r w:rsidR="0038228F">
              <w:t>survival</w:t>
            </w:r>
            <w:r>
              <w:t xml:space="preserve"> in people with </w:t>
            </w:r>
            <w:r w:rsidR="0038228F" w:rsidRPr="00E21867">
              <w:rPr>
                <w:i/>
                <w:iCs/>
              </w:rPr>
              <w:t>BRCA1/2</w:t>
            </w:r>
            <w:r w:rsidR="0038228F">
              <w:t xml:space="preserve"> variants</w:t>
            </w:r>
            <w:r>
              <w:t xml:space="preserve"> in their </w:t>
            </w:r>
            <w:r w:rsidR="0038228F">
              <w:t>prostate cancer</w:t>
            </w:r>
            <w:r>
              <w:t>.</w:t>
            </w:r>
          </w:p>
          <w:p w14:paraId="7F2BAC5C" w14:textId="12AAB99E" w:rsidR="00D315F8" w:rsidRDefault="00D315F8" w:rsidP="00F715D1">
            <w:pPr>
              <w:pStyle w:val="Default"/>
              <w:spacing w:after="240"/>
            </w:pPr>
            <w:r>
              <w:t>M</w:t>
            </w:r>
            <w:r w:rsidRPr="0043299D">
              <w:t>etastatic castration-resistant prostate cancer</w:t>
            </w:r>
            <w:r>
              <w:t xml:space="preserve"> is prostate cancer that has spread to other areas of the body and is not responding to hormone therapy. Genetic testing involves sending a piece of the tumour to a laboratory for </w:t>
            </w:r>
            <w:r w:rsidRPr="00E21867">
              <w:rPr>
                <w:i/>
                <w:iCs/>
              </w:rPr>
              <w:t>BRCA1/2</w:t>
            </w:r>
            <w:r>
              <w:t xml:space="preserve"> testing. If the tumour is positive for a </w:t>
            </w:r>
            <w:r w:rsidRPr="001F207D">
              <w:rPr>
                <w:i/>
                <w:iCs/>
              </w:rPr>
              <w:t>BRCA1/2</w:t>
            </w:r>
            <w:r>
              <w:t xml:space="preserve"> </w:t>
            </w:r>
            <w:r w:rsidR="0038228F">
              <w:t>pathogenic variant</w:t>
            </w:r>
            <w:r w:rsidR="00C33323">
              <w:t>,</w:t>
            </w:r>
            <w:r>
              <w:t xml:space="preserve"> the laboratory would also test to see if the patient had a germline</w:t>
            </w:r>
            <w:r w:rsidR="00C33323">
              <w:t xml:space="preserve"> (</w:t>
            </w:r>
            <w:r w:rsidR="00AE5405">
              <w:t>heritable</w:t>
            </w:r>
            <w:r w:rsidR="00C33323">
              <w:t>)</w:t>
            </w:r>
            <w:r>
              <w:t xml:space="preserve"> </w:t>
            </w:r>
            <w:r w:rsidR="0038228F">
              <w:t>variant</w:t>
            </w:r>
            <w:r>
              <w:t xml:space="preserve"> by doing the same test on a blood sample. Germline </w:t>
            </w:r>
            <w:r w:rsidR="0038228F">
              <w:t>variants</w:t>
            </w:r>
            <w:r>
              <w:t xml:space="preserve"> mean that the person’s family could also be affected. If the person has a germline </w:t>
            </w:r>
            <w:r w:rsidRPr="00E21867">
              <w:rPr>
                <w:i/>
                <w:iCs/>
              </w:rPr>
              <w:t>BRCA1/2</w:t>
            </w:r>
            <w:r>
              <w:t xml:space="preserve"> </w:t>
            </w:r>
            <w:r w:rsidR="0038228F">
              <w:t>variant</w:t>
            </w:r>
            <w:r>
              <w:t xml:space="preserve">, their immediate family members could also be tested to see if they carry the same </w:t>
            </w:r>
            <w:r w:rsidR="0038228F">
              <w:t>variant</w:t>
            </w:r>
            <w:r>
              <w:t xml:space="preserve"> (</w:t>
            </w:r>
            <w:r w:rsidR="00FE68D1">
              <w:t xml:space="preserve">this is </w:t>
            </w:r>
            <w:r>
              <w:t>called cascade testing).</w:t>
            </w:r>
          </w:p>
          <w:p w14:paraId="49803870" w14:textId="6750DF3A" w:rsidR="000663AA" w:rsidRPr="000663AA" w:rsidRDefault="00D315F8" w:rsidP="00F715D1">
            <w:pPr>
              <w:pStyle w:val="Default"/>
              <w:spacing w:after="240"/>
              <w:rPr>
                <w:i/>
                <w:color w:val="auto"/>
              </w:rPr>
            </w:pPr>
            <w:r>
              <w:t xml:space="preserve">MSAC considered that </w:t>
            </w:r>
            <w:r w:rsidR="00FE68D1">
              <w:t xml:space="preserve">testing </w:t>
            </w:r>
            <w:r>
              <w:t>people with this type of</w:t>
            </w:r>
            <w:r w:rsidRPr="0043299D">
              <w:t xml:space="preserve"> prostate cancer</w:t>
            </w:r>
            <w:r>
              <w:t xml:space="preserve"> </w:t>
            </w:r>
            <w:r w:rsidR="00FE68D1">
              <w:t xml:space="preserve">would accurately identify </w:t>
            </w:r>
            <w:r w:rsidRPr="00E21867">
              <w:rPr>
                <w:i/>
                <w:iCs/>
              </w:rPr>
              <w:t>BRCA1/2</w:t>
            </w:r>
            <w:r>
              <w:t xml:space="preserve"> </w:t>
            </w:r>
            <w:r w:rsidR="0038228F">
              <w:t>variant</w:t>
            </w:r>
            <w:r w:rsidR="00FE68D1">
              <w:t>s and thus help determine eligibility for olaparib</w:t>
            </w:r>
            <w:r>
              <w:t xml:space="preserve">. MSAC </w:t>
            </w:r>
            <w:r w:rsidR="00D5742E">
              <w:t>will quickly</w:t>
            </w:r>
            <w:r>
              <w:t xml:space="preserve"> reconsider this application if the Pharmaceutical Benefits Advisory Committee (PBAC) </w:t>
            </w:r>
            <w:r w:rsidR="00FF4E23">
              <w:t xml:space="preserve">recommends </w:t>
            </w:r>
            <w:r>
              <w:t xml:space="preserve">listing olaparib on the PBS </w:t>
            </w:r>
            <w:r w:rsidR="00FE68D1">
              <w:t>as requested</w:t>
            </w:r>
            <w:r>
              <w:t>.</w:t>
            </w:r>
          </w:p>
          <w:p w14:paraId="5701F3A2" w14:textId="77777777" w:rsidR="000663AA" w:rsidRDefault="000663AA" w:rsidP="00F715D1">
            <w:pPr>
              <w:pStyle w:val="Default"/>
              <w:spacing w:after="240"/>
              <w:rPr>
                <w:b/>
                <w:color w:val="auto"/>
              </w:rPr>
            </w:pPr>
            <w:r w:rsidRPr="00C06B0B">
              <w:rPr>
                <w:b/>
                <w:color w:val="auto"/>
              </w:rPr>
              <w:t xml:space="preserve">MSAC’s </w:t>
            </w:r>
            <w:r>
              <w:rPr>
                <w:b/>
                <w:color w:val="auto"/>
              </w:rPr>
              <w:t>advice</w:t>
            </w:r>
            <w:r w:rsidRPr="00C06B0B">
              <w:rPr>
                <w:b/>
                <w:color w:val="auto"/>
              </w:rPr>
              <w:t xml:space="preserve"> to the Commonwealth Minister</w:t>
            </w:r>
            <w:r>
              <w:rPr>
                <w:b/>
                <w:color w:val="auto"/>
              </w:rPr>
              <w:t xml:space="preserve"> for Health</w:t>
            </w:r>
          </w:p>
          <w:p w14:paraId="00EC6A9E" w14:textId="59CBE7DD" w:rsidR="000663AA" w:rsidRDefault="00D315F8" w:rsidP="00FF4E23">
            <w:pPr>
              <w:pStyle w:val="Default"/>
              <w:spacing w:after="240"/>
              <w:rPr>
                <w:i/>
                <w:color w:val="auto"/>
              </w:rPr>
            </w:pPr>
            <w:r>
              <w:t xml:space="preserve">MSAC considered the test to be safe, effective and cost-effective, but it did not yet make a decision about listing it on the MBS. MSAC noted that it would quickly reconsider this application if the PBAC </w:t>
            </w:r>
            <w:r w:rsidR="00FF4E23">
              <w:t>recommends</w:t>
            </w:r>
            <w:r>
              <w:t xml:space="preserve"> funding olaparib on the PBS for this group of people.</w:t>
            </w:r>
          </w:p>
        </w:tc>
      </w:tr>
    </w:tbl>
    <w:p w14:paraId="36C8C596" w14:textId="42E34442" w:rsidR="00550354" w:rsidRPr="00F715D1" w:rsidRDefault="00550354" w:rsidP="00F715D1">
      <w:pPr>
        <w:pStyle w:val="Heading1"/>
      </w:pPr>
      <w:r w:rsidRPr="00F715D1">
        <w:lastRenderedPageBreak/>
        <w:t xml:space="preserve">Summary of consideration </w:t>
      </w:r>
      <w:r w:rsidR="00AE5405">
        <w:t>and rationale for MSAC’s advice</w:t>
      </w:r>
    </w:p>
    <w:p w14:paraId="4F50CD77" w14:textId="6D0BBCE6" w:rsidR="00D315F8" w:rsidRDefault="00D315F8" w:rsidP="00A45BFA">
      <w:pPr>
        <w:spacing w:after="240"/>
      </w:pPr>
      <w:r>
        <w:t>MSAC noted that this was a</w:t>
      </w:r>
      <w:r w:rsidR="009240BF">
        <w:t>n integrated</w:t>
      </w:r>
      <w:r>
        <w:t xml:space="preserve"> c</w:t>
      </w:r>
      <w:r w:rsidRPr="0043299D">
        <w:t xml:space="preserve">odependent </w:t>
      </w:r>
      <w:r w:rsidR="009240BF">
        <w:t>submission</w:t>
      </w:r>
      <w:r w:rsidRPr="0043299D">
        <w:t xml:space="preserve"> for the </w:t>
      </w:r>
      <w:r>
        <w:t>Medicare Benefits Schedule (MBS) listing of genetic testing for</w:t>
      </w:r>
      <w:r w:rsidRPr="0043299D">
        <w:t xml:space="preserve"> </w:t>
      </w:r>
      <w:r w:rsidRPr="0043299D">
        <w:rPr>
          <w:i/>
          <w:iCs/>
        </w:rPr>
        <w:t>BRCA1/2</w:t>
      </w:r>
      <w:r w:rsidRPr="0043299D">
        <w:t xml:space="preserve"> </w:t>
      </w:r>
      <w:r w:rsidR="0038228F">
        <w:t xml:space="preserve">pathogenic </w:t>
      </w:r>
      <w:r w:rsidR="00F97785">
        <w:t xml:space="preserve">gene </w:t>
      </w:r>
      <w:r w:rsidRPr="0043299D">
        <w:t xml:space="preserve">variants to </w:t>
      </w:r>
      <w:r w:rsidR="00B30C79">
        <w:t xml:space="preserve">help </w:t>
      </w:r>
      <w:r w:rsidRPr="0043299D">
        <w:t xml:space="preserve">determine eligibility for treatment with olaparib of patients with metastatic castration-resistant prostate cancer </w:t>
      </w:r>
      <w:r w:rsidR="0062668C">
        <w:t>(</w:t>
      </w:r>
      <w:proofErr w:type="spellStart"/>
      <w:r w:rsidR="0062668C">
        <w:t>mCRPC</w:t>
      </w:r>
      <w:proofErr w:type="spellEnd"/>
      <w:r w:rsidR="0062668C">
        <w:t>)</w:t>
      </w:r>
      <w:r w:rsidR="00BB2F7E">
        <w:t>.</w:t>
      </w:r>
      <w:r w:rsidR="0062668C">
        <w:t xml:space="preserve"> </w:t>
      </w:r>
      <w:r w:rsidR="00704924">
        <w:t xml:space="preserve">MSAC noted the original application </w:t>
      </w:r>
      <w:r w:rsidR="00FE68D1">
        <w:t xml:space="preserve">as considered by its PICO Advisory Sub-Committee had </w:t>
      </w:r>
      <w:r w:rsidR="00704924">
        <w:t xml:space="preserve">also included testing the </w:t>
      </w:r>
      <w:r w:rsidR="00704924">
        <w:rPr>
          <w:i/>
        </w:rPr>
        <w:t xml:space="preserve">ATM </w:t>
      </w:r>
      <w:r w:rsidR="00704924">
        <w:t>gene</w:t>
      </w:r>
      <w:r w:rsidR="00FE68D1">
        <w:t>,</w:t>
      </w:r>
      <w:r w:rsidR="00704924">
        <w:t xml:space="preserve"> but this </w:t>
      </w:r>
      <w:r w:rsidR="00FE68D1">
        <w:t xml:space="preserve">request </w:t>
      </w:r>
      <w:r w:rsidR="00704924">
        <w:t xml:space="preserve">was not included in the </w:t>
      </w:r>
      <w:r w:rsidR="00FE68D1">
        <w:t>applicant developed assessment report (</w:t>
      </w:r>
      <w:r w:rsidR="00704924">
        <w:t>ADAR</w:t>
      </w:r>
      <w:r w:rsidR="00FE68D1">
        <w:t>)</w:t>
      </w:r>
      <w:r w:rsidR="00704924">
        <w:t>.</w:t>
      </w:r>
      <w:r>
        <w:t xml:space="preserve"> MSAC noted that the </w:t>
      </w:r>
      <w:r w:rsidR="00FE68D1">
        <w:t xml:space="preserve">March 2021 </w:t>
      </w:r>
      <w:r>
        <w:t xml:space="preserve">Pharmaceutical Benefits Advisory Committee (PBAC) </w:t>
      </w:r>
      <w:r w:rsidR="00FE68D1">
        <w:t xml:space="preserve">meeting </w:t>
      </w:r>
      <w:r w:rsidRPr="001B7CE8">
        <w:t xml:space="preserve">did not recommend </w:t>
      </w:r>
      <w:r w:rsidR="0062668C">
        <w:t xml:space="preserve">listing </w:t>
      </w:r>
      <w:r w:rsidR="0062668C" w:rsidRPr="0062668C">
        <w:t xml:space="preserve">olaparib </w:t>
      </w:r>
      <w:r w:rsidR="0062668C">
        <w:t xml:space="preserve">on the Pharmaceutical Benefits Scheme (PBS) </w:t>
      </w:r>
      <w:r w:rsidR="0062668C" w:rsidRPr="0062668C">
        <w:t xml:space="preserve">for the treatment of </w:t>
      </w:r>
      <w:proofErr w:type="spellStart"/>
      <w:r w:rsidR="006501DB">
        <w:t>mCRPC</w:t>
      </w:r>
      <w:proofErr w:type="spellEnd"/>
      <w:r w:rsidR="0062668C" w:rsidRPr="0062668C">
        <w:t xml:space="preserve"> in patients with pathogenic or likely pathogenic </w:t>
      </w:r>
      <w:r w:rsidR="0062668C" w:rsidRPr="00FE68D1">
        <w:rPr>
          <w:i/>
        </w:rPr>
        <w:t>BRCA1/2</w:t>
      </w:r>
      <w:r w:rsidR="0062668C" w:rsidRPr="0062668C">
        <w:t xml:space="preserve"> gene variants. </w:t>
      </w:r>
      <w:r>
        <w:t>MSAC</w:t>
      </w:r>
      <w:r w:rsidR="00B30C79">
        <w:t xml:space="preserve"> also</w:t>
      </w:r>
      <w:r>
        <w:t xml:space="preserve"> noted the PBAC’s request </w:t>
      </w:r>
      <w:r w:rsidR="00EF656D">
        <w:t xml:space="preserve">for </w:t>
      </w:r>
      <w:r w:rsidR="0062668C" w:rsidRPr="0062668C">
        <w:t xml:space="preserve">MSAC </w:t>
      </w:r>
      <w:r w:rsidR="00EF656D">
        <w:t>advice</w:t>
      </w:r>
      <w:r w:rsidR="0062668C" w:rsidRPr="0062668C">
        <w:t xml:space="preserve"> on the likely prevalence in the Australian population with metastatic castration resistant prostate cancer of having a </w:t>
      </w:r>
      <w:r w:rsidR="00BB2F7E">
        <w:rPr>
          <w:i/>
        </w:rPr>
        <w:t xml:space="preserve">BRCA1/2 </w:t>
      </w:r>
      <w:r w:rsidR="0062668C" w:rsidRPr="0062668C">
        <w:t xml:space="preserve">pathogenic </w:t>
      </w:r>
      <w:r w:rsidR="00F97785">
        <w:t xml:space="preserve">gene </w:t>
      </w:r>
      <w:r w:rsidR="0062668C" w:rsidRPr="0062668C">
        <w:t>variant.</w:t>
      </w:r>
    </w:p>
    <w:p w14:paraId="69E738C7" w14:textId="5854CEF3" w:rsidR="00D315F8" w:rsidRDefault="00D315F8" w:rsidP="00A45BFA">
      <w:pPr>
        <w:spacing w:after="240"/>
      </w:pPr>
      <w:r>
        <w:t>MSAC noted that o</w:t>
      </w:r>
      <w:r w:rsidRPr="005316E1">
        <w:t>laparib is currently PBS-listed for platinum</w:t>
      </w:r>
      <w:r>
        <w:t>-</w:t>
      </w:r>
      <w:r w:rsidRPr="005316E1">
        <w:t>sensitive patients with high</w:t>
      </w:r>
      <w:r>
        <w:t>-</w:t>
      </w:r>
      <w:r w:rsidRPr="005316E1">
        <w:t xml:space="preserve">grade serous ovarian, fallopian tube or primary peritoneal cancer, who also have a </w:t>
      </w:r>
      <w:r w:rsidRPr="005316E1">
        <w:rPr>
          <w:i/>
          <w:iCs/>
        </w:rPr>
        <w:t>BRCA1/2</w:t>
      </w:r>
      <w:r w:rsidRPr="005316E1">
        <w:t> pathogenic </w:t>
      </w:r>
      <w:r w:rsidR="00F97785">
        <w:t xml:space="preserve">gene </w:t>
      </w:r>
      <w:r w:rsidRPr="005316E1">
        <w:t>variant</w:t>
      </w:r>
      <w:r>
        <w:t>.</w:t>
      </w:r>
    </w:p>
    <w:p w14:paraId="667A0F5F" w14:textId="1B2E6813" w:rsidR="00D315F8" w:rsidRDefault="00D315F8" w:rsidP="00A45BFA">
      <w:pPr>
        <w:spacing w:after="240"/>
      </w:pPr>
      <w:r>
        <w:t xml:space="preserve">MSAC noted </w:t>
      </w:r>
      <w:r w:rsidR="0038228F">
        <w:t xml:space="preserve">the </w:t>
      </w:r>
      <w:r w:rsidR="009368C9">
        <w:t xml:space="preserve">relevant randomised trials of </w:t>
      </w:r>
      <w:r w:rsidR="000B4CA7">
        <w:t xml:space="preserve">olaparib </w:t>
      </w:r>
      <w:r w:rsidRPr="00C86BCC">
        <w:t>(</w:t>
      </w:r>
      <w:proofErr w:type="spellStart"/>
      <w:r w:rsidRPr="00C86BCC">
        <w:t>PROfound</w:t>
      </w:r>
      <w:proofErr w:type="spellEnd"/>
      <w:r w:rsidRPr="00C86BCC">
        <w:t>, TOPAR</w:t>
      </w:r>
      <w:r w:rsidR="009368C9">
        <w:t>P</w:t>
      </w:r>
      <w:r w:rsidRPr="00C86BCC">
        <w:t xml:space="preserve">-B) enrolled </w:t>
      </w:r>
      <w:r>
        <w:t xml:space="preserve">patients </w:t>
      </w:r>
      <w:r w:rsidR="00B30C79">
        <w:t xml:space="preserve">with </w:t>
      </w:r>
      <w:proofErr w:type="spellStart"/>
      <w:r w:rsidR="00B30C79" w:rsidRPr="00C86BCC">
        <w:t>m</w:t>
      </w:r>
      <w:r w:rsidR="000B4CA7">
        <w:t>CRPC</w:t>
      </w:r>
      <w:proofErr w:type="spellEnd"/>
      <w:r w:rsidR="00B30C79">
        <w:t xml:space="preserve"> </w:t>
      </w:r>
      <w:r>
        <w:t xml:space="preserve">who </w:t>
      </w:r>
      <w:r w:rsidR="0038228F">
        <w:t xml:space="preserve">had </w:t>
      </w:r>
      <w:r w:rsidR="00C975CC">
        <w:t xml:space="preserve">pathogenic </w:t>
      </w:r>
      <w:r w:rsidR="00F97785">
        <w:t xml:space="preserve">gene </w:t>
      </w:r>
      <w:r w:rsidR="00C975CC">
        <w:t xml:space="preserve">variants in </w:t>
      </w:r>
      <w:r w:rsidR="00CA0C73">
        <w:t>prespecified list</w:t>
      </w:r>
      <w:r w:rsidR="001A43AB">
        <w:t>s</w:t>
      </w:r>
      <w:r w:rsidR="00CA0C73">
        <w:t xml:space="preserve"> of genes</w:t>
      </w:r>
      <w:r w:rsidR="00474EA2">
        <w:t>. Th</w:t>
      </w:r>
      <w:r w:rsidR="001A43AB">
        <w:t>e</w:t>
      </w:r>
      <w:r w:rsidR="00474EA2">
        <w:t xml:space="preserve"> prespecified list</w:t>
      </w:r>
      <w:r w:rsidR="001A43AB">
        <w:t>s</w:t>
      </w:r>
      <w:r w:rsidR="00474EA2">
        <w:t xml:space="preserve"> w</w:t>
      </w:r>
      <w:r w:rsidR="001A43AB">
        <w:t>ere</w:t>
      </w:r>
      <w:r w:rsidR="00474EA2">
        <w:t xml:space="preserve"> of genes</w:t>
      </w:r>
      <w:r w:rsidR="00CA0C73">
        <w:t xml:space="preserve"> which had a direct or indirect role in </w:t>
      </w:r>
      <w:r w:rsidR="00C975CC">
        <w:t>the</w:t>
      </w:r>
      <w:r>
        <w:t xml:space="preserve"> </w:t>
      </w:r>
      <w:r w:rsidR="00C975CC" w:rsidRPr="0043299D">
        <w:t>homologous recombination repair</w:t>
      </w:r>
      <w:r w:rsidR="00C975CC">
        <w:t xml:space="preserve"> (HRR)</w:t>
      </w:r>
      <w:r w:rsidR="00474EA2">
        <w:t xml:space="preserve"> </w:t>
      </w:r>
      <w:r w:rsidRPr="00C86BCC">
        <w:t>pathway</w:t>
      </w:r>
      <w:r w:rsidR="00CA0C73">
        <w:t xml:space="preserve">. </w:t>
      </w:r>
      <w:r w:rsidR="001A43AB">
        <w:t xml:space="preserve">The prespecified genes differed slightly between the two trials. </w:t>
      </w:r>
      <w:r w:rsidR="008C07C8">
        <w:t xml:space="preserve">MSAC noted that the </w:t>
      </w:r>
      <w:proofErr w:type="spellStart"/>
      <w:r w:rsidR="008C07C8">
        <w:t>PROfound</w:t>
      </w:r>
      <w:proofErr w:type="spellEnd"/>
      <w:r w:rsidR="008C07C8">
        <w:t xml:space="preserve"> trial was based on the assumption that all gene variants were equally predictive of tumour HRR deficiency. MSAC did not consider this assumption to be plausible given that the </w:t>
      </w:r>
      <w:r w:rsidR="005043F8">
        <w:t>trial</w:t>
      </w:r>
      <w:r w:rsidR="008C07C8">
        <w:t xml:space="preserve"> did not include functional assays for HRR deficiency and further that each gene variant </w:t>
      </w:r>
      <w:r w:rsidR="0095117E">
        <w:t>is not predictive of</w:t>
      </w:r>
      <w:r w:rsidR="008C07C8">
        <w:t xml:space="preserve"> HRR deficiency with the </w:t>
      </w:r>
      <w:r w:rsidR="008C07C8">
        <w:lastRenderedPageBreak/>
        <w:t xml:space="preserve">same level of confidence. </w:t>
      </w:r>
      <w:proofErr w:type="spellStart"/>
      <w:r w:rsidR="008C07C8">
        <w:t>PROfound</w:t>
      </w:r>
      <w:proofErr w:type="spellEnd"/>
      <w:r w:rsidR="00CA0C73">
        <w:t xml:space="preserve"> established two cohorts, the first </w:t>
      </w:r>
      <w:r w:rsidR="008C07C8">
        <w:t>based</w:t>
      </w:r>
      <w:r w:rsidR="00CA0C73">
        <w:t xml:space="preserve"> </w:t>
      </w:r>
      <w:r w:rsidR="008C07C8">
        <w:t xml:space="preserve">on </w:t>
      </w:r>
      <w:r w:rsidR="00CA0C73">
        <w:t xml:space="preserve">alterations in </w:t>
      </w:r>
      <w:r w:rsidR="00CA0C73" w:rsidRPr="00F91770">
        <w:rPr>
          <w:i/>
        </w:rPr>
        <w:t>BRCA1</w:t>
      </w:r>
      <w:r w:rsidR="0095117E">
        <w:t>,</w:t>
      </w:r>
      <w:r w:rsidR="00CA0C73">
        <w:t xml:space="preserve"> </w:t>
      </w:r>
      <w:r w:rsidR="00CA0C73" w:rsidRPr="00F91770">
        <w:rPr>
          <w:i/>
        </w:rPr>
        <w:t>BRCA2</w:t>
      </w:r>
      <w:r w:rsidR="00CA0C73">
        <w:t xml:space="preserve"> or </w:t>
      </w:r>
      <w:r w:rsidR="00CA0C73" w:rsidRPr="00F91770">
        <w:rPr>
          <w:i/>
        </w:rPr>
        <w:t>ATM</w:t>
      </w:r>
      <w:r w:rsidR="00CA0C73">
        <w:t xml:space="preserve"> (regardless of other co-occurring </w:t>
      </w:r>
      <w:r w:rsidR="0095117E">
        <w:t>gene variants</w:t>
      </w:r>
      <w:r w:rsidR="00CA0C73">
        <w:t xml:space="preserve">) and a second cohort with alterations in 12 other genes. The </w:t>
      </w:r>
      <w:r w:rsidR="008C07C8">
        <w:t>submission request</w:t>
      </w:r>
      <w:r w:rsidR="0095117E">
        <w:t xml:space="preserve">ed </w:t>
      </w:r>
      <w:r w:rsidR="008C07C8">
        <w:t xml:space="preserve">funding for </w:t>
      </w:r>
      <w:r w:rsidR="00BE2A44">
        <w:t xml:space="preserve">patients reflecting </w:t>
      </w:r>
      <w:r w:rsidR="008C07C8">
        <w:t xml:space="preserve">only a subgroup of those enrolled in the </w:t>
      </w:r>
      <w:proofErr w:type="spellStart"/>
      <w:r w:rsidR="008C07C8">
        <w:t>PROfound</w:t>
      </w:r>
      <w:proofErr w:type="spellEnd"/>
      <w:r w:rsidR="008C07C8">
        <w:t xml:space="preserve"> </w:t>
      </w:r>
      <w:r w:rsidR="005043F8">
        <w:t>trial</w:t>
      </w:r>
      <w:r w:rsidR="008C07C8">
        <w:t xml:space="preserve"> (</w:t>
      </w:r>
      <w:proofErr w:type="spellStart"/>
      <w:r w:rsidR="008C07C8">
        <w:t>ie</w:t>
      </w:r>
      <w:proofErr w:type="spellEnd"/>
      <w:r w:rsidR="005043F8">
        <w:t xml:space="preserve"> </w:t>
      </w:r>
      <w:r w:rsidR="00BE2A44">
        <w:t xml:space="preserve">only </w:t>
      </w:r>
      <w:r w:rsidR="005043F8">
        <w:t>those with</w:t>
      </w:r>
      <w:r w:rsidR="008C07C8">
        <w:t xml:space="preserve"> </w:t>
      </w:r>
      <w:r w:rsidR="008C07C8" w:rsidRPr="00F91770">
        <w:rPr>
          <w:i/>
        </w:rPr>
        <w:t>BRCA1/2</w:t>
      </w:r>
      <w:r w:rsidR="008C07C8">
        <w:t xml:space="preserve"> </w:t>
      </w:r>
      <w:r w:rsidR="0095117E">
        <w:t>variants</w:t>
      </w:r>
      <w:r w:rsidR="008C07C8">
        <w:t>) rather</w:t>
      </w:r>
      <w:r w:rsidR="00CD0598">
        <w:t xml:space="preserve"> than</w:t>
      </w:r>
      <w:r w:rsidR="008C07C8">
        <w:t xml:space="preserve"> </w:t>
      </w:r>
      <w:r w:rsidR="00BE2A44">
        <w:t xml:space="preserve">reflecting </w:t>
      </w:r>
      <w:r w:rsidR="008C07C8">
        <w:t xml:space="preserve">the entire cohort of patients enrolled in the </w:t>
      </w:r>
      <w:r w:rsidR="005043F8">
        <w:t>trial</w:t>
      </w:r>
      <w:r w:rsidR="008C07C8">
        <w:t>.</w:t>
      </w:r>
    </w:p>
    <w:p w14:paraId="73AC8A9F" w14:textId="4A7E451D" w:rsidR="00D315F8" w:rsidRDefault="00D315F8" w:rsidP="00A45BFA">
      <w:pPr>
        <w:spacing w:after="240"/>
      </w:pPr>
      <w:r>
        <w:t>MSAC accept</w:t>
      </w:r>
      <w:r w:rsidR="005043F8">
        <w:t>ed</w:t>
      </w:r>
      <w:r>
        <w:t xml:space="preserve"> the clinical </w:t>
      </w:r>
      <w:r w:rsidR="00265DF4">
        <w:t>utility</w:t>
      </w:r>
      <w:r>
        <w:t xml:space="preserve"> of </w:t>
      </w:r>
      <w:r w:rsidRPr="00C249D6">
        <w:rPr>
          <w:i/>
          <w:iCs/>
        </w:rPr>
        <w:t>BRCA1/2</w:t>
      </w:r>
      <w:r>
        <w:t xml:space="preserve"> testing to determine PBS eligibility for olaparib. MSAC noted the i</w:t>
      </w:r>
      <w:r w:rsidRPr="003941D0">
        <w:t>mproved health outcome</w:t>
      </w:r>
      <w:r>
        <w:t>s</w:t>
      </w:r>
      <w:r w:rsidRPr="003941D0">
        <w:t xml:space="preserve"> in patients with </w:t>
      </w:r>
      <w:r w:rsidRPr="003941D0">
        <w:rPr>
          <w:i/>
          <w:iCs/>
        </w:rPr>
        <w:t>BRCA1/2</w:t>
      </w:r>
      <w:r w:rsidRPr="003941D0">
        <w:t xml:space="preserve"> variants treated with </w:t>
      </w:r>
      <w:r>
        <w:t xml:space="preserve">olaparib, and considered the best evidence </w:t>
      </w:r>
      <w:r w:rsidR="0038228F">
        <w:t>was</w:t>
      </w:r>
      <w:r>
        <w:t xml:space="preserve"> for </w:t>
      </w:r>
      <w:r w:rsidRPr="003941D0">
        <w:rPr>
          <w:i/>
          <w:iCs/>
        </w:rPr>
        <w:t>BRCA2</w:t>
      </w:r>
      <w:r>
        <w:t xml:space="preserve">. </w:t>
      </w:r>
      <w:r w:rsidR="00C975CC">
        <w:t xml:space="preserve">MSAC noted there were only 13 patients with </w:t>
      </w:r>
      <w:r w:rsidR="00C975CC">
        <w:rPr>
          <w:i/>
        </w:rPr>
        <w:t xml:space="preserve">BRCA1 </w:t>
      </w:r>
      <w:r w:rsidR="00C975CC">
        <w:t xml:space="preserve">variants in the </w:t>
      </w:r>
      <w:proofErr w:type="spellStart"/>
      <w:r w:rsidR="00C975CC">
        <w:t>PROfound</w:t>
      </w:r>
      <w:proofErr w:type="spellEnd"/>
      <w:r w:rsidR="00C975CC">
        <w:t xml:space="preserve"> trial </w:t>
      </w:r>
      <w:r w:rsidR="00265DF4">
        <w:t xml:space="preserve">and the results showed it </w:t>
      </w:r>
      <w:r w:rsidR="00474EA2">
        <w:t>only weakly</w:t>
      </w:r>
      <w:r w:rsidR="00265DF4">
        <w:t xml:space="preserve"> </w:t>
      </w:r>
      <w:r w:rsidR="00663ECB">
        <w:t>predict</w:t>
      </w:r>
      <w:r w:rsidR="00474EA2">
        <w:t>ed</w:t>
      </w:r>
      <w:r w:rsidR="00663ECB">
        <w:t xml:space="preserve"> </w:t>
      </w:r>
      <w:r w:rsidR="000B4CA7">
        <w:t xml:space="preserve">improved health outcomes </w:t>
      </w:r>
      <w:r w:rsidR="00265DF4">
        <w:t xml:space="preserve">with olaparib treatment. </w:t>
      </w:r>
      <w:r w:rsidR="00474EA2">
        <w:t xml:space="preserve">For reasons outlined above, MSAC considered it unlikely that olaparib would be equally effective against all gene variants included in the </w:t>
      </w:r>
      <w:proofErr w:type="spellStart"/>
      <w:r w:rsidR="00474EA2">
        <w:t>PROfound</w:t>
      </w:r>
      <w:proofErr w:type="spellEnd"/>
      <w:r w:rsidR="00474EA2">
        <w:t xml:space="preserve"> study and further </w:t>
      </w:r>
      <w:r w:rsidR="00663ECB">
        <w:t xml:space="preserve">MSAC </w:t>
      </w:r>
      <w:r w:rsidR="00474EA2">
        <w:t>noted the very</w:t>
      </w:r>
      <w:r w:rsidR="00663ECB">
        <w:t xml:space="preserve"> limited evidence available </w:t>
      </w:r>
      <w:r w:rsidR="00474EA2">
        <w:t xml:space="preserve">in relation to genes other than </w:t>
      </w:r>
      <w:r w:rsidR="00474EA2" w:rsidRPr="00F91770">
        <w:rPr>
          <w:i/>
        </w:rPr>
        <w:t>BRCA</w:t>
      </w:r>
      <w:r w:rsidR="0095117E" w:rsidRPr="00F91770">
        <w:rPr>
          <w:i/>
        </w:rPr>
        <w:t>1/2</w:t>
      </w:r>
      <w:r w:rsidR="0095117E">
        <w:t>. MS</w:t>
      </w:r>
      <w:r w:rsidR="00474EA2">
        <w:t xml:space="preserve">AC </w:t>
      </w:r>
      <w:r w:rsidR="0095117E">
        <w:t xml:space="preserve">excluded </w:t>
      </w:r>
      <w:r w:rsidR="00663ECB" w:rsidRPr="00663ECB">
        <w:rPr>
          <w:i/>
        </w:rPr>
        <w:t>ATM</w:t>
      </w:r>
      <w:r w:rsidR="00663ECB">
        <w:t xml:space="preserve"> pathogenic </w:t>
      </w:r>
      <w:r w:rsidR="00F97785">
        <w:t xml:space="preserve">gene </w:t>
      </w:r>
      <w:r w:rsidR="00663ECB">
        <w:t>variants</w:t>
      </w:r>
      <w:r w:rsidR="00474EA2">
        <w:t xml:space="preserve"> despite the fact that </w:t>
      </w:r>
      <w:r>
        <w:t xml:space="preserve">the </w:t>
      </w:r>
      <w:r w:rsidRPr="003941D0">
        <w:t>National Comprehensive Cancer Network</w:t>
      </w:r>
      <w:r w:rsidR="0095117E">
        <w:t xml:space="preserve"> </w:t>
      </w:r>
      <w:r w:rsidR="00A5431A">
        <w:t xml:space="preserve">(NCCN) </w:t>
      </w:r>
      <w:r w:rsidRPr="003941D0">
        <w:t>guidelines</w:t>
      </w:r>
      <w:r>
        <w:t xml:space="preserve"> </w:t>
      </w:r>
      <w:r w:rsidR="00E31971">
        <w:t>(</w:t>
      </w:r>
      <w:r w:rsidR="008F4952">
        <w:t>Version 2.2021, 17 February 2021</w:t>
      </w:r>
      <w:r w:rsidR="00E31971">
        <w:t>)</w:t>
      </w:r>
      <w:r w:rsidR="00D269E3">
        <w:t xml:space="preserve"> </w:t>
      </w:r>
      <w:r>
        <w:t xml:space="preserve">recommend </w:t>
      </w:r>
      <w:r w:rsidR="00474EA2" w:rsidRPr="00F91770">
        <w:rPr>
          <w:i/>
        </w:rPr>
        <w:t>ATM</w:t>
      </w:r>
      <w:r>
        <w:t xml:space="preserve"> testing</w:t>
      </w:r>
      <w:r w:rsidR="00D269E3">
        <w:t xml:space="preserve"> in this context</w:t>
      </w:r>
      <w:r>
        <w:t>.</w:t>
      </w:r>
    </w:p>
    <w:p w14:paraId="3D4EF12B" w14:textId="188E5D3D" w:rsidR="00D315F8" w:rsidRDefault="00304103" w:rsidP="00A45BFA">
      <w:pPr>
        <w:spacing w:after="240"/>
      </w:pPr>
      <w:r>
        <w:t>In accepting this evidence of clinical utility</w:t>
      </w:r>
      <w:r w:rsidR="00D315F8">
        <w:t xml:space="preserve">, MSAC </w:t>
      </w:r>
      <w:r>
        <w:t xml:space="preserve">also </w:t>
      </w:r>
      <w:r w:rsidR="00D315F8" w:rsidRPr="005A611A">
        <w:t xml:space="preserve">considered that the </w:t>
      </w:r>
      <w:proofErr w:type="spellStart"/>
      <w:r w:rsidR="00265DF4">
        <w:t>PROfound</w:t>
      </w:r>
      <w:proofErr w:type="spellEnd"/>
      <w:r w:rsidR="00265DF4">
        <w:t xml:space="preserve"> trial did not </w:t>
      </w:r>
      <w:r w:rsidR="000B4CA7">
        <w:t xml:space="preserve">directly </w:t>
      </w:r>
      <w:r w:rsidR="00265DF4">
        <w:t xml:space="preserve">show that </w:t>
      </w:r>
      <w:r w:rsidR="00D315F8" w:rsidRPr="005A611A">
        <w:t xml:space="preserve">treatment effect size </w:t>
      </w:r>
      <w:r w:rsidR="00265DF4">
        <w:t xml:space="preserve">with </w:t>
      </w:r>
      <w:r w:rsidR="00D269E3">
        <w:t>olaparib</w:t>
      </w:r>
      <w:r w:rsidR="00265DF4">
        <w:t xml:space="preserve"> </w:t>
      </w:r>
      <w:r w:rsidR="00D315F8" w:rsidRPr="005A611A">
        <w:t xml:space="preserve">was </w:t>
      </w:r>
      <w:r w:rsidR="00265DF4">
        <w:t xml:space="preserve">better for </w:t>
      </w:r>
      <w:r w:rsidR="00265DF4">
        <w:rPr>
          <w:i/>
        </w:rPr>
        <w:t xml:space="preserve">BRCA1/2 </w:t>
      </w:r>
      <w:r w:rsidR="00265DF4" w:rsidRPr="00A45BFA">
        <w:t>positive</w:t>
      </w:r>
      <w:r w:rsidR="00265DF4">
        <w:t xml:space="preserve"> patients </w:t>
      </w:r>
      <w:r w:rsidR="000B4CA7">
        <w:t xml:space="preserve">than for </w:t>
      </w:r>
      <w:r w:rsidR="000B4CA7" w:rsidRPr="00304103">
        <w:rPr>
          <w:i/>
        </w:rPr>
        <w:t>BRCA1/2</w:t>
      </w:r>
      <w:r w:rsidR="000B4CA7">
        <w:t xml:space="preserve"> negative patients </w:t>
      </w:r>
      <w:r w:rsidR="00265DF4">
        <w:t>as the trial excluded HRR</w:t>
      </w:r>
      <w:r w:rsidR="00265DF4" w:rsidRPr="005A611A">
        <w:t>-</w:t>
      </w:r>
      <w:r w:rsidR="00265DF4">
        <w:t>negative</w:t>
      </w:r>
      <w:r w:rsidR="00265DF4" w:rsidRPr="005A611A">
        <w:t xml:space="preserve"> patients</w:t>
      </w:r>
      <w:r w:rsidR="00265DF4">
        <w:t>.</w:t>
      </w:r>
      <w:r w:rsidDel="00304103">
        <w:t xml:space="preserve"> </w:t>
      </w:r>
      <w:r w:rsidR="0095117E">
        <w:t xml:space="preserve">Despite this </w:t>
      </w:r>
      <w:r w:rsidR="005043F8">
        <w:t>trial</w:t>
      </w:r>
      <w:r w:rsidR="0095117E">
        <w:t xml:space="preserve"> limitation, </w:t>
      </w:r>
      <w:r>
        <w:t xml:space="preserve">MSAC considered that this aspect of the claim </w:t>
      </w:r>
      <w:r w:rsidR="00017848">
        <w:t>could</w:t>
      </w:r>
      <w:r>
        <w:t xml:space="preserve"> be indirectly inferred as being biologically plausible.</w:t>
      </w:r>
    </w:p>
    <w:p w14:paraId="1886DEC2" w14:textId="59A9F454" w:rsidR="00D315F8" w:rsidRDefault="00D315F8" w:rsidP="00A45BFA">
      <w:pPr>
        <w:spacing w:after="240"/>
      </w:pPr>
      <w:r>
        <w:t xml:space="preserve">MSAC noted the high </w:t>
      </w:r>
      <w:r w:rsidR="00304103">
        <w:t xml:space="preserve">requested fee for </w:t>
      </w:r>
      <w:r>
        <w:t>the genetic test</w:t>
      </w:r>
      <w:r w:rsidR="009120C4">
        <w:t xml:space="preserve"> with some providers offering</w:t>
      </w:r>
      <w:r w:rsidR="00304103" w:rsidRPr="00304103">
        <w:t xml:space="preserve"> </w:t>
      </w:r>
      <w:r w:rsidR="00304103" w:rsidRPr="00304103">
        <w:rPr>
          <w:i/>
        </w:rPr>
        <w:t>BRCA1/2</w:t>
      </w:r>
      <w:r w:rsidR="009120C4">
        <w:t xml:space="preserve"> testing at a lower fee</w:t>
      </w:r>
      <w:r>
        <w:t xml:space="preserve">. MSAC considered that a </w:t>
      </w:r>
      <w:r w:rsidR="00304103">
        <w:t xml:space="preserve">large </w:t>
      </w:r>
      <w:r>
        <w:t xml:space="preserve">number of </w:t>
      </w:r>
      <w:r w:rsidR="00304103" w:rsidRPr="00304103">
        <w:rPr>
          <w:i/>
        </w:rPr>
        <w:t>BRCA1/2</w:t>
      </w:r>
      <w:r w:rsidR="00304103">
        <w:t xml:space="preserve"> </w:t>
      </w:r>
      <w:r w:rsidRPr="00304103">
        <w:t>tests</w:t>
      </w:r>
      <w:r>
        <w:t xml:space="preserve"> would be required to identify a small number of patients who would be able to access olaparib. MSAC </w:t>
      </w:r>
      <w:r w:rsidR="00017848">
        <w:t xml:space="preserve">therefore </w:t>
      </w:r>
      <w:r>
        <w:t>considered the $</w:t>
      </w:r>
      <w:r w:rsidRPr="006B6B9E">
        <w:t>1,200</w:t>
      </w:r>
      <w:r>
        <w:t xml:space="preserve"> fee </w:t>
      </w:r>
      <w:r w:rsidR="009120C4">
        <w:t>resulted in a</w:t>
      </w:r>
      <w:r>
        <w:t xml:space="preserve"> </w:t>
      </w:r>
      <w:r w:rsidR="009120C4">
        <w:t>high cost to the MBS</w:t>
      </w:r>
      <w:r>
        <w:t xml:space="preserve"> </w:t>
      </w:r>
      <w:r w:rsidR="009120C4">
        <w:t xml:space="preserve">as </w:t>
      </w:r>
      <w:r w:rsidR="00017848">
        <w:t xml:space="preserve">this new purpose would result in </w:t>
      </w:r>
      <w:r w:rsidR="009120C4">
        <w:t>a</w:t>
      </w:r>
      <w:r>
        <w:t xml:space="preserve"> high-volume </w:t>
      </w:r>
      <w:r w:rsidR="00017848">
        <w:t>test</w:t>
      </w:r>
      <w:r w:rsidR="009120C4">
        <w:t xml:space="preserve">. However, </w:t>
      </w:r>
      <w:r w:rsidR="005029BF">
        <w:t xml:space="preserve">MSAC </w:t>
      </w:r>
      <w:r w:rsidR="00017848">
        <w:t xml:space="preserve">also </w:t>
      </w:r>
      <w:r w:rsidR="0027705F">
        <w:t xml:space="preserve">noted that </w:t>
      </w:r>
      <w:r w:rsidR="00017848">
        <w:t xml:space="preserve">the lower fee from some providers may </w:t>
      </w:r>
      <w:r w:rsidR="00667FCD">
        <w:t xml:space="preserve">be </w:t>
      </w:r>
      <w:r w:rsidR="00017848">
        <w:t xml:space="preserve">the result of </w:t>
      </w:r>
      <w:r w:rsidR="0095117E">
        <w:t xml:space="preserve">laboratory </w:t>
      </w:r>
      <w:r w:rsidR="00017848">
        <w:t>cross-subsidisation</w:t>
      </w:r>
      <w:r w:rsidR="0095117E">
        <w:t xml:space="preserve"> between various tests. In relation to next generation sequencing, the costs for </w:t>
      </w:r>
      <w:r w:rsidR="0027705F">
        <w:t xml:space="preserve">library preparation </w:t>
      </w:r>
      <w:r w:rsidR="0095117E">
        <w:t>remain high and</w:t>
      </w:r>
      <w:r w:rsidR="00A5431A">
        <w:t>,</w:t>
      </w:r>
      <w:r w:rsidR="0095117E">
        <w:t xml:space="preserve"> given the size of the </w:t>
      </w:r>
      <w:r w:rsidR="0095117E" w:rsidRPr="00F91770">
        <w:rPr>
          <w:i/>
        </w:rPr>
        <w:t>BRCA1/2</w:t>
      </w:r>
      <w:r w:rsidR="0095117E">
        <w:t xml:space="preserve"> </w:t>
      </w:r>
      <w:r w:rsidR="00F91770">
        <w:t>gene</w:t>
      </w:r>
      <w:r w:rsidR="00A5431A">
        <w:t>s</w:t>
      </w:r>
      <w:r w:rsidR="00F91770">
        <w:t xml:space="preserve">, </w:t>
      </w:r>
      <w:r w:rsidR="0095117E">
        <w:t>the an</w:t>
      </w:r>
      <w:r w:rsidR="005043F8">
        <w:t>alysis takes considerable time.</w:t>
      </w:r>
    </w:p>
    <w:p w14:paraId="091C6DAE" w14:textId="4085284A" w:rsidR="00D315F8" w:rsidRDefault="0027705F" w:rsidP="00A45BFA">
      <w:pPr>
        <w:spacing w:after="240"/>
      </w:pPr>
      <w:r>
        <w:t xml:space="preserve">MSAC </w:t>
      </w:r>
      <w:r w:rsidR="00017848">
        <w:t xml:space="preserve">considered </w:t>
      </w:r>
      <w:r>
        <w:t xml:space="preserve">that germline testing might be necessary after inconclusive tumour testing. </w:t>
      </w:r>
      <w:r w:rsidR="00D315F8">
        <w:t xml:space="preserve">MSAC </w:t>
      </w:r>
      <w:r w:rsidR="00017848">
        <w:t xml:space="preserve">therefore advised that </w:t>
      </w:r>
      <w:r w:rsidR="00D315F8">
        <w:t xml:space="preserve">an explanatory note </w:t>
      </w:r>
      <w:r w:rsidR="00017848">
        <w:t xml:space="preserve">be included </w:t>
      </w:r>
      <w:r w:rsidR="00D315F8">
        <w:t>in the MBS item, stating that the fee ($</w:t>
      </w:r>
      <w:r w:rsidR="00D315F8" w:rsidRPr="006B6B9E">
        <w:t>1,200</w:t>
      </w:r>
      <w:r w:rsidR="00D315F8">
        <w:t>) included both tumour (somatic) and germline testing</w:t>
      </w:r>
      <w:r>
        <w:t xml:space="preserve"> where tumour testing had failed</w:t>
      </w:r>
      <w:r w:rsidR="00D315F8">
        <w:t xml:space="preserve">, and that laboratories </w:t>
      </w:r>
      <w:r>
        <w:t>should</w:t>
      </w:r>
      <w:r w:rsidR="00D315F8">
        <w:t xml:space="preserve"> not be able to claim twice for somatic and germline testing </w:t>
      </w:r>
      <w:r w:rsidR="0065477E">
        <w:t>for</w:t>
      </w:r>
      <w:r w:rsidR="00D315F8">
        <w:t xml:space="preserve"> the same patient. For the germline test</w:t>
      </w:r>
      <w:r>
        <w:t xml:space="preserve"> after a positive somatic test</w:t>
      </w:r>
      <w:r w:rsidR="00D315F8">
        <w:t>, the laboratory would only have to test for the same variant that was identified in the somatic test</w:t>
      </w:r>
      <w:r w:rsidR="00017848">
        <w:t xml:space="preserve"> and so billing the separate item </w:t>
      </w:r>
      <w:r w:rsidR="00980FC1">
        <w:t xml:space="preserve">73302 </w:t>
      </w:r>
      <w:r w:rsidR="00017848">
        <w:t>for this purpose would be appropriate</w:t>
      </w:r>
      <w:r w:rsidR="00D315F8">
        <w:t>.</w:t>
      </w:r>
    </w:p>
    <w:p w14:paraId="22A85E57" w14:textId="7360A82F" w:rsidR="00D315F8" w:rsidRDefault="00704924" w:rsidP="00A45BFA">
      <w:pPr>
        <w:spacing w:after="240"/>
      </w:pPr>
      <w:r>
        <w:t xml:space="preserve">MSAC </w:t>
      </w:r>
      <w:r w:rsidR="0065477E">
        <w:t>considered</w:t>
      </w:r>
      <w:r>
        <w:t xml:space="preserve"> that the economic model had inappropriately included testing costs for </w:t>
      </w:r>
      <w:r w:rsidR="0065477E">
        <w:t xml:space="preserve">patients assumed to switch to olaparib in </w:t>
      </w:r>
      <w:r>
        <w:t xml:space="preserve">the comparator </w:t>
      </w:r>
      <w:r w:rsidR="0065477E">
        <w:t xml:space="preserve">arm </w:t>
      </w:r>
      <w:r>
        <w:t>and noted that the pre-MSAC response had agreed this should be removed.</w:t>
      </w:r>
    </w:p>
    <w:p w14:paraId="276929C4" w14:textId="637FA122" w:rsidR="00A45BFA" w:rsidRDefault="00D315F8" w:rsidP="00F91770">
      <w:pPr>
        <w:pStyle w:val="pf0"/>
      </w:pPr>
      <w:r>
        <w:t xml:space="preserve">MSAC noted that the PBAC considered the economic evaluation to be highly uncertain, </w:t>
      </w:r>
      <w:r w:rsidR="00980FC1">
        <w:t xml:space="preserve">partly </w:t>
      </w:r>
      <w:r>
        <w:t xml:space="preserve">due to uncertainty regarding the </w:t>
      </w:r>
      <w:r w:rsidR="00980FC1">
        <w:t>proportion</w:t>
      </w:r>
      <w:r>
        <w:t xml:space="preserve"> of </w:t>
      </w:r>
      <w:r w:rsidR="00980FC1">
        <w:t xml:space="preserve">tested </w:t>
      </w:r>
      <w:r>
        <w:t xml:space="preserve">patients who would qualify to access olaparib. MSAC noted the published prevalence rates for </w:t>
      </w:r>
      <w:r w:rsidRPr="00695D66">
        <w:rPr>
          <w:i/>
          <w:iCs/>
        </w:rPr>
        <w:t>BRCA</w:t>
      </w:r>
      <w:r>
        <w:t>-</w:t>
      </w:r>
      <w:r w:rsidRPr="00695D66">
        <w:t xml:space="preserve">positive patients </w:t>
      </w:r>
      <w:r>
        <w:t xml:space="preserve">with </w:t>
      </w:r>
      <w:r w:rsidRPr="00695D66">
        <w:t>metastatic prostate cancer</w:t>
      </w:r>
      <w:r>
        <w:t>:</w:t>
      </w:r>
      <w:r w:rsidRPr="00695D66">
        <w:t xml:space="preserve"> 7% (calculated from </w:t>
      </w:r>
      <w:r w:rsidR="00EF656D" w:rsidRPr="00EF656D">
        <w:t>TOPAR</w:t>
      </w:r>
      <w:r w:rsidR="009368C9">
        <w:t>P</w:t>
      </w:r>
      <w:r w:rsidR="00EF656D" w:rsidRPr="00EF656D">
        <w:t>-B</w:t>
      </w:r>
      <w:r w:rsidR="00EF656D">
        <w:t>,</w:t>
      </w:r>
      <w:r w:rsidR="00EF656D" w:rsidRPr="00EF656D">
        <w:t xml:space="preserve"> </w:t>
      </w:r>
      <w:r w:rsidRPr="00695D66">
        <w:t>Mateo 2020)</w:t>
      </w:r>
      <w:r>
        <w:t xml:space="preserve">, </w:t>
      </w:r>
      <w:r w:rsidRPr="00695D66">
        <w:t xml:space="preserve">and </w:t>
      </w:r>
      <w:r w:rsidR="005029BF">
        <w:t>9.7</w:t>
      </w:r>
      <w:r w:rsidRPr="00695D66">
        <w:t>% (application</w:t>
      </w:r>
      <w:r w:rsidR="00DA4ADF">
        <w:t xml:space="preserve"> based on </w:t>
      </w:r>
      <w:proofErr w:type="spellStart"/>
      <w:r w:rsidR="00DA4ADF">
        <w:t>PROfound</w:t>
      </w:r>
      <w:proofErr w:type="spellEnd"/>
      <w:r w:rsidRPr="00695D66">
        <w:t>)</w:t>
      </w:r>
      <w:r>
        <w:t xml:space="preserve">. </w:t>
      </w:r>
      <w:r w:rsidR="0095117E" w:rsidRPr="0095117E">
        <w:t xml:space="preserve">The NCCN guidelines </w:t>
      </w:r>
      <w:r w:rsidR="00F91770" w:rsidRPr="00F91770">
        <w:t xml:space="preserve">(Version 2.2021, 17 February 2021) </w:t>
      </w:r>
      <w:r w:rsidR="0095117E" w:rsidRPr="0095117E">
        <w:t xml:space="preserve">estimate 5.3% have </w:t>
      </w:r>
      <w:r w:rsidR="0095117E" w:rsidRPr="0095117E">
        <w:rPr>
          <w:i/>
          <w:iCs/>
        </w:rPr>
        <w:t>BRCA2</w:t>
      </w:r>
      <w:r w:rsidR="0095117E" w:rsidRPr="0095117E">
        <w:t xml:space="preserve"> and 0.9% have </w:t>
      </w:r>
      <w:r w:rsidR="0095117E" w:rsidRPr="0095117E">
        <w:rPr>
          <w:i/>
          <w:iCs/>
        </w:rPr>
        <w:t>BRCA1</w:t>
      </w:r>
      <w:r w:rsidR="0095117E" w:rsidRPr="0095117E">
        <w:t xml:space="preserve"> (total 6.2% </w:t>
      </w:r>
      <w:r w:rsidR="0095117E" w:rsidRPr="0095117E">
        <w:rPr>
          <w:i/>
          <w:iCs/>
        </w:rPr>
        <w:t>BRCA1/2</w:t>
      </w:r>
      <w:r w:rsidR="00F91770">
        <w:t xml:space="preserve">). </w:t>
      </w:r>
      <w:r>
        <w:t xml:space="preserve">MSAC </w:t>
      </w:r>
      <w:r w:rsidR="0065477E">
        <w:t xml:space="preserve">therefore </w:t>
      </w:r>
      <w:r w:rsidR="0065477E">
        <w:lastRenderedPageBreak/>
        <w:t>ad</w:t>
      </w:r>
      <w:r w:rsidR="004250DD">
        <w:t>vised that PBAC should rely on</w:t>
      </w:r>
      <w:r w:rsidR="0065477E">
        <w:t xml:space="preserve"> </w:t>
      </w:r>
      <w:r>
        <w:t>7</w:t>
      </w:r>
      <w:r w:rsidR="00714025">
        <w:t>%</w:t>
      </w:r>
      <w:r>
        <w:t xml:space="preserve">–10% </w:t>
      </w:r>
      <w:r w:rsidR="004250DD">
        <w:t xml:space="preserve">as the range of </w:t>
      </w:r>
      <w:r>
        <w:t xml:space="preserve">prevalence </w:t>
      </w:r>
      <w:r w:rsidR="0065477E">
        <w:t>estimate</w:t>
      </w:r>
      <w:r w:rsidR="004250DD">
        <w:t>s</w:t>
      </w:r>
      <w:r w:rsidR="0065477E">
        <w:t xml:space="preserve"> </w:t>
      </w:r>
      <w:r w:rsidR="00DA4ADF">
        <w:t xml:space="preserve">of </w:t>
      </w:r>
      <w:r w:rsidR="0065477E">
        <w:t>patients</w:t>
      </w:r>
      <w:r w:rsidR="00DA4ADF">
        <w:t xml:space="preserve"> with </w:t>
      </w:r>
      <w:proofErr w:type="spellStart"/>
      <w:r w:rsidR="00DA4ADF">
        <w:t>mCRPC</w:t>
      </w:r>
      <w:proofErr w:type="spellEnd"/>
      <w:r w:rsidR="00980FC1">
        <w:t xml:space="preserve"> being </w:t>
      </w:r>
      <w:r w:rsidR="00980FC1" w:rsidRPr="00C93AD6">
        <w:rPr>
          <w:i/>
        </w:rPr>
        <w:t>BRCA1/2</w:t>
      </w:r>
      <w:r w:rsidR="00980FC1">
        <w:t xml:space="preserve"> positive</w:t>
      </w:r>
      <w:r>
        <w:t>.</w:t>
      </w:r>
    </w:p>
    <w:p w14:paraId="59CFD931" w14:textId="41981DBC" w:rsidR="00A45BFA" w:rsidRDefault="00A45BFA" w:rsidP="00A45BFA">
      <w:pPr>
        <w:spacing w:after="240"/>
        <w:rPr>
          <w:i/>
          <w:szCs w:val="24"/>
        </w:rPr>
      </w:pPr>
      <w:r>
        <w:t xml:space="preserve">MSAC noted that the PBAC considered the economic </w:t>
      </w:r>
      <w:r w:rsidR="00A5431A">
        <w:t xml:space="preserve">evaluation to also be uncertain </w:t>
      </w:r>
      <w:r>
        <w:t xml:space="preserve">due to uncertainty regarding the number of cascade tests that would be required. </w:t>
      </w:r>
      <w:r w:rsidRPr="006D7275">
        <w:t xml:space="preserve">MSAC noted that 50% of patients with </w:t>
      </w:r>
      <w:r w:rsidR="00DB1642" w:rsidRPr="001A43AB">
        <w:rPr>
          <w:i/>
        </w:rPr>
        <w:t>BRCA1/2</w:t>
      </w:r>
      <w:r w:rsidR="00DB1642">
        <w:t xml:space="preserve"> </w:t>
      </w:r>
      <w:r w:rsidRPr="006D7275">
        <w:t>positive tumour test</w:t>
      </w:r>
      <w:r>
        <w:t>s</w:t>
      </w:r>
      <w:r w:rsidRPr="006D7275">
        <w:t xml:space="preserve"> will </w:t>
      </w:r>
      <w:r w:rsidR="00A5431A">
        <w:t xml:space="preserve">also </w:t>
      </w:r>
      <w:r w:rsidRPr="006D7275">
        <w:t>be germline positive, and thus have relatives at risk. This</w:t>
      </w:r>
      <w:r>
        <w:t xml:space="preserve"> would necessitate </w:t>
      </w:r>
      <w:r w:rsidR="004250DD">
        <w:t xml:space="preserve">additional germline and </w:t>
      </w:r>
      <w:r>
        <w:t>cascade testing, which was not part of the economic evaluation. MSAC acknowledged the scope of the application was for access to olaparib, but considered that</w:t>
      </w:r>
      <w:r w:rsidR="00980FC1">
        <w:t>, although</w:t>
      </w:r>
      <w:r>
        <w:t xml:space="preserve"> the cost of </w:t>
      </w:r>
      <w:r w:rsidR="004250DD">
        <w:t xml:space="preserve">this additional germline and </w:t>
      </w:r>
      <w:r>
        <w:t xml:space="preserve">cascade testing would be </w:t>
      </w:r>
      <w:r w:rsidR="00714025">
        <w:t xml:space="preserve">relatively </w:t>
      </w:r>
      <w:r>
        <w:t xml:space="preserve">low in the context of </w:t>
      </w:r>
      <w:r w:rsidR="00714025">
        <w:t>the requested test and medicine listings</w:t>
      </w:r>
      <w:r w:rsidR="00980FC1">
        <w:t>,</w:t>
      </w:r>
      <w:r>
        <w:t xml:space="preserve"> the applicant should include </w:t>
      </w:r>
      <w:r w:rsidR="004250DD">
        <w:t xml:space="preserve">such cost consequences </w:t>
      </w:r>
      <w:r>
        <w:t xml:space="preserve">in </w:t>
      </w:r>
      <w:r w:rsidR="004250DD">
        <w:t xml:space="preserve">both the economic evaluation and </w:t>
      </w:r>
      <w:r>
        <w:t xml:space="preserve">the </w:t>
      </w:r>
      <w:r w:rsidR="004250DD">
        <w:t>financial analysis</w:t>
      </w:r>
      <w:r>
        <w:t xml:space="preserve">. </w:t>
      </w:r>
      <w:r w:rsidR="00980FC1">
        <w:t>However, t</w:t>
      </w:r>
      <w:r>
        <w:t xml:space="preserve">he applicant would not have to include </w:t>
      </w:r>
      <w:r w:rsidR="004250DD">
        <w:t xml:space="preserve">the health outcomes of germline and </w:t>
      </w:r>
      <w:r>
        <w:t>cascade testing in its economic evaluation.</w:t>
      </w:r>
      <w:r w:rsidR="00667FCD">
        <w:t xml:space="preserve"> On balance, MSAC foreshadowed that it would support these other relatively small consequential costs of testing in the context of the overall application.</w:t>
      </w:r>
    </w:p>
    <w:p w14:paraId="3037F6F0" w14:textId="026B3FC8" w:rsidR="00D315F8" w:rsidRPr="00A45BFA" w:rsidRDefault="00D315F8" w:rsidP="00017848">
      <w:pPr>
        <w:spacing w:after="240"/>
      </w:pPr>
      <w:r>
        <w:t xml:space="preserve">MSAC </w:t>
      </w:r>
      <w:r w:rsidR="00A45BFA">
        <w:t>noted</w:t>
      </w:r>
      <w:r w:rsidRPr="00CE3591">
        <w:t xml:space="preserve"> </w:t>
      </w:r>
      <w:r w:rsidR="009240BF">
        <w:t xml:space="preserve">the submission’s estimates </w:t>
      </w:r>
      <w:r w:rsidRPr="00CE3591">
        <w:t>that 4,613 patients w</w:t>
      </w:r>
      <w:r w:rsidR="004250DD">
        <w:t>ould</w:t>
      </w:r>
      <w:r w:rsidRPr="00CE3591">
        <w:t xml:space="preserve"> be tested for </w:t>
      </w:r>
      <w:r w:rsidRPr="00CE3591">
        <w:rPr>
          <w:i/>
          <w:iCs/>
        </w:rPr>
        <w:t>BRCA1/2</w:t>
      </w:r>
      <w:r w:rsidRPr="00CE3591">
        <w:t xml:space="preserve"> variants to determine eligibility for olaparib in </w:t>
      </w:r>
      <w:r>
        <w:t>y</w:t>
      </w:r>
      <w:r w:rsidRPr="00CE3591">
        <w:t xml:space="preserve">ear 1, increasing to 6,623 in </w:t>
      </w:r>
      <w:r>
        <w:t>y</w:t>
      </w:r>
      <w:r w:rsidRPr="00CE3591">
        <w:t>ear 6</w:t>
      </w:r>
      <w:r>
        <w:t xml:space="preserve"> – resulting in </w:t>
      </w:r>
      <w:r w:rsidR="00714025">
        <w:t>447</w:t>
      </w:r>
      <w:r w:rsidRPr="00CE3591">
        <w:t xml:space="preserve"> eligible patients for olaparib in </w:t>
      </w:r>
      <w:r>
        <w:t>y</w:t>
      </w:r>
      <w:r w:rsidRPr="00CE3591">
        <w:t>ear 1</w:t>
      </w:r>
      <w:r>
        <w:t>.</w:t>
      </w:r>
      <w:r w:rsidR="00A45BFA">
        <w:t xml:space="preserve"> MSAC noted that the </w:t>
      </w:r>
      <w:r w:rsidR="009240BF">
        <w:t>net MBS</w:t>
      </w:r>
      <w:r w:rsidR="00A45BFA">
        <w:t xml:space="preserve"> costs were almost as large as the </w:t>
      </w:r>
      <w:r w:rsidR="009240BF">
        <w:t xml:space="preserve">net </w:t>
      </w:r>
      <w:r w:rsidR="004250DD">
        <w:t>PBS</w:t>
      </w:r>
      <w:r w:rsidR="00A45BFA">
        <w:t xml:space="preserve"> costs because a large number of patients would </w:t>
      </w:r>
      <w:r w:rsidR="006C2E0B">
        <w:t xml:space="preserve">be </w:t>
      </w:r>
      <w:r w:rsidR="00A45BFA">
        <w:t xml:space="preserve">undergoing </w:t>
      </w:r>
      <w:r w:rsidR="00A45BFA" w:rsidRPr="00017848">
        <w:t>testing</w:t>
      </w:r>
      <w:r w:rsidR="00A45BFA">
        <w:rPr>
          <w:i/>
        </w:rPr>
        <w:t xml:space="preserve"> </w:t>
      </w:r>
      <w:r w:rsidR="00A45BFA">
        <w:t>to identify the small proportion of patients (less than 10%) eligible for olaparib treatment.</w:t>
      </w:r>
    </w:p>
    <w:p w14:paraId="078D914F" w14:textId="77777777" w:rsidR="00BC1364" w:rsidRPr="00F715D1" w:rsidRDefault="00BC1364" w:rsidP="00F715D1">
      <w:pPr>
        <w:pStyle w:val="Heading1"/>
      </w:pPr>
      <w:r w:rsidRPr="00F715D1">
        <w:t>Background</w:t>
      </w:r>
    </w:p>
    <w:p w14:paraId="5D0C43FC" w14:textId="77777777" w:rsidR="0012086B" w:rsidRPr="00D3430D" w:rsidRDefault="0012086B" w:rsidP="0012086B">
      <w:r w:rsidRPr="00D3430D">
        <w:t xml:space="preserve">Germline </w:t>
      </w:r>
      <w:r w:rsidRPr="00D3430D">
        <w:rPr>
          <w:i/>
        </w:rPr>
        <w:t>BRCA1</w:t>
      </w:r>
      <w:r w:rsidRPr="00D3430D">
        <w:t xml:space="preserve"> or </w:t>
      </w:r>
      <w:r w:rsidRPr="00D3430D">
        <w:rPr>
          <w:i/>
        </w:rPr>
        <w:t>BRCA2</w:t>
      </w:r>
      <w:r w:rsidRPr="00D3430D">
        <w:t xml:space="preserve"> testing to determine eligibility for olaparib maintenance therapy in patients with platinum sensitive, relapsed high-grade serous ovarian, fallopian tube or primary peritoneal cancer (</w:t>
      </w:r>
      <w:r w:rsidRPr="00D3430D">
        <w:rPr>
          <w:rFonts w:eastAsia="Calibri" w:cs="Arial"/>
          <w:iCs/>
          <w:szCs w:val="22"/>
          <w:lang w:eastAsia="en-US"/>
        </w:rPr>
        <w:t>HGSOC</w:t>
      </w:r>
      <w:r w:rsidRPr="00D3430D">
        <w:t xml:space="preserve">) was listed on the MBS (item 73295) alongside PBS listings for olaparib (items 11034R </w:t>
      </w:r>
      <w:r>
        <w:t>and 11050N) on 1 February 2017.</w:t>
      </w:r>
    </w:p>
    <w:p w14:paraId="1DC3D383" w14:textId="0A137785" w:rsidR="0012086B" w:rsidRPr="00D3430D" w:rsidRDefault="0012086B" w:rsidP="007C2DC0">
      <w:pPr>
        <w:spacing w:before="240"/>
      </w:pPr>
      <w:r w:rsidRPr="00D3430D">
        <w:t xml:space="preserve">In August 2020, MBS item 73301 was introduced for testing of the tumour tissue (somatic testing) to detect </w:t>
      </w:r>
      <w:r w:rsidRPr="00D3430D">
        <w:rPr>
          <w:i/>
        </w:rPr>
        <w:t xml:space="preserve">BRCA1 </w:t>
      </w:r>
      <w:r w:rsidRPr="00D3430D">
        <w:t xml:space="preserve">or </w:t>
      </w:r>
      <w:r w:rsidRPr="00D3430D">
        <w:rPr>
          <w:i/>
        </w:rPr>
        <w:t>BRCA2</w:t>
      </w:r>
      <w:r w:rsidRPr="00D3430D">
        <w:t xml:space="preserve"> pathogenic or likely pathogenic gene variants, in a patient with advanced HGSOC. Additionally, item 73302 was introduced to determine whether the presence of somatic </w:t>
      </w:r>
      <w:r w:rsidRPr="004250DD">
        <w:rPr>
          <w:i/>
        </w:rPr>
        <w:t>BRCA</w:t>
      </w:r>
      <w:r w:rsidRPr="00D3430D">
        <w:t xml:space="preserve"> markers detected by item 73301 are the result of a pathogenic or likely pathogenic </w:t>
      </w:r>
      <w:r w:rsidRPr="00D3430D">
        <w:rPr>
          <w:i/>
        </w:rPr>
        <w:t>BRCA1</w:t>
      </w:r>
      <w:r w:rsidRPr="00D3430D">
        <w:t xml:space="preserve"> or </w:t>
      </w:r>
      <w:r w:rsidRPr="00D3430D">
        <w:rPr>
          <w:i/>
        </w:rPr>
        <w:t>BRCA2</w:t>
      </w:r>
      <w:r w:rsidRPr="00D3430D">
        <w:t xml:space="preserve"> gene variant. In its consideration of somatic </w:t>
      </w:r>
      <w:r w:rsidRPr="004250DD">
        <w:rPr>
          <w:i/>
        </w:rPr>
        <w:t>BRCA</w:t>
      </w:r>
      <w:r w:rsidRPr="00D3430D">
        <w:t xml:space="preserve"> testing in the aforementioned population, MSAC accepted that women first identified with a somatic </w:t>
      </w:r>
      <w:r w:rsidRPr="009A5647">
        <w:rPr>
          <w:i/>
        </w:rPr>
        <w:t>BRCA</w:t>
      </w:r>
      <w:r w:rsidRPr="00D3430D">
        <w:t xml:space="preserve"> pathogenic </w:t>
      </w:r>
      <w:r w:rsidR="00F97785">
        <w:t xml:space="preserve">gene </w:t>
      </w:r>
      <w:r w:rsidRPr="00D3430D">
        <w:t xml:space="preserve">variant should be followed up with germline testing, and that predictive (cascade) testing should still be offered only to family members of women with confirmed germline </w:t>
      </w:r>
      <w:r w:rsidRPr="009A5647">
        <w:rPr>
          <w:i/>
        </w:rPr>
        <w:t>BRCA</w:t>
      </w:r>
      <w:r w:rsidRPr="00D3430D">
        <w:t xml:space="preserve"> pathogenic</w:t>
      </w:r>
      <w:r w:rsidR="00F97785">
        <w:t xml:space="preserve"> gene</w:t>
      </w:r>
      <w:r w:rsidRPr="00D3430D">
        <w:t xml:space="preserve"> variant (MBS item 73297, </w:t>
      </w:r>
      <w:hyperlink r:id="rId10" w:history="1">
        <w:r w:rsidRPr="00D3430D">
          <w:rPr>
            <w:color w:val="0000FF"/>
            <w:u w:val="single"/>
          </w:rPr>
          <w:t>MSAC Application 1554 PSD</w:t>
        </w:r>
      </w:hyperlink>
      <w:r w:rsidRPr="00D3430D">
        <w:t>, p4)</w:t>
      </w:r>
      <w:r>
        <w:t>.</w:t>
      </w:r>
    </w:p>
    <w:p w14:paraId="23105189" w14:textId="485F1CFE" w:rsidR="0012086B" w:rsidRPr="00D3430D" w:rsidRDefault="0012086B" w:rsidP="007C2DC0">
      <w:pPr>
        <w:spacing w:before="240"/>
        <w:rPr>
          <w:i/>
        </w:rPr>
      </w:pPr>
      <w:r w:rsidRPr="00D3430D">
        <w:t xml:space="preserve">Germline gene testing, including </w:t>
      </w:r>
      <w:r w:rsidRPr="00D3430D">
        <w:rPr>
          <w:i/>
        </w:rPr>
        <w:t>BRCA1</w:t>
      </w:r>
      <w:r w:rsidRPr="00D3430D">
        <w:t xml:space="preserve"> and </w:t>
      </w:r>
      <w:r w:rsidRPr="00D3430D">
        <w:rPr>
          <w:i/>
        </w:rPr>
        <w:t>BRCA2</w:t>
      </w:r>
      <w:r w:rsidRPr="00D3430D">
        <w:t xml:space="preserve"> testing (item 73296), for patients with breast or ovarian cancer in patients at &gt;10% risk of having a pathogenic gene variant, became available on the MBS from November 2017. Item 73296 requires characterisation of </w:t>
      </w:r>
      <w:r w:rsidRPr="00D3430D">
        <w:rPr>
          <w:i/>
        </w:rPr>
        <w:t>BRCA1</w:t>
      </w:r>
      <w:r w:rsidRPr="00D3430D">
        <w:t xml:space="preserve"> and </w:t>
      </w:r>
      <w:r w:rsidRPr="00D3430D">
        <w:rPr>
          <w:i/>
        </w:rPr>
        <w:t>BRCA2</w:t>
      </w:r>
      <w:r w:rsidRPr="00D3430D">
        <w:t xml:space="preserve"> genes and one or more of the following genes </w:t>
      </w:r>
      <w:r w:rsidRPr="00D3430D">
        <w:rPr>
          <w:i/>
        </w:rPr>
        <w:t>STK11</w:t>
      </w:r>
      <w:r w:rsidRPr="00D3430D">
        <w:t xml:space="preserve">, </w:t>
      </w:r>
      <w:r w:rsidRPr="00D3430D">
        <w:rPr>
          <w:i/>
        </w:rPr>
        <w:t xml:space="preserve">PTEN, CDH1, PALB2, </w:t>
      </w:r>
      <w:r w:rsidRPr="00D3430D">
        <w:t xml:space="preserve">or </w:t>
      </w:r>
      <w:r w:rsidRPr="00D3430D">
        <w:rPr>
          <w:i/>
        </w:rPr>
        <w:t xml:space="preserve">TP53. </w:t>
      </w:r>
      <w:r w:rsidRPr="00D3430D">
        <w:t>Item 73297 is the corresponding MBS item for biological relative</w:t>
      </w:r>
      <w:r w:rsidR="004250DD">
        <w:t>s</w:t>
      </w:r>
      <w:r w:rsidRPr="00D3430D">
        <w:t xml:space="preserve">. Item 73297 does not refer to a tumour type. Consistent with item 73296, item 73297 is for the characterisation of germline gene variants including copy number variation in </w:t>
      </w:r>
      <w:r w:rsidRPr="00D3430D">
        <w:rPr>
          <w:i/>
        </w:rPr>
        <w:t>BRCA1</w:t>
      </w:r>
      <w:r w:rsidRPr="00D3430D">
        <w:t xml:space="preserve"> and </w:t>
      </w:r>
      <w:r w:rsidRPr="00D3430D">
        <w:rPr>
          <w:i/>
        </w:rPr>
        <w:t>BRCA2</w:t>
      </w:r>
      <w:r w:rsidRPr="00D3430D">
        <w:t xml:space="preserve"> genes and one or more of the following genes </w:t>
      </w:r>
      <w:r w:rsidRPr="00D3430D">
        <w:rPr>
          <w:i/>
        </w:rPr>
        <w:t xml:space="preserve">STK11, PTEN, CDH1, PALB2, </w:t>
      </w:r>
      <w:r w:rsidRPr="00D3430D">
        <w:t xml:space="preserve">or </w:t>
      </w:r>
      <w:r w:rsidRPr="00D3430D">
        <w:rPr>
          <w:i/>
        </w:rPr>
        <w:t>TP53.</w:t>
      </w:r>
    </w:p>
    <w:p w14:paraId="6C1C15CB" w14:textId="606C2E9A" w:rsidR="0012086B" w:rsidRPr="00D3430D" w:rsidRDefault="0012086B" w:rsidP="007C2DC0">
      <w:pPr>
        <w:spacing w:before="240"/>
      </w:pPr>
      <w:r w:rsidRPr="00D3430D">
        <w:t xml:space="preserve">MSAC supported MBS listing of testing of the defined set of breast cancer/ovarian cancer group of genes in </w:t>
      </w:r>
      <w:r>
        <w:t xml:space="preserve">high risk </w:t>
      </w:r>
      <w:r w:rsidRPr="00D3430D">
        <w:t xml:space="preserve">affected individuals and for the specific gene mutation </w:t>
      </w:r>
      <w:r w:rsidR="00452139">
        <w:t xml:space="preserve">[variant] </w:t>
      </w:r>
      <w:r w:rsidRPr="00D3430D">
        <w:t>identified in their family members at its March 2016 consider</w:t>
      </w:r>
      <w:r>
        <w:t>ation</w:t>
      </w:r>
      <w:r w:rsidRPr="00D3430D">
        <w:t xml:space="preserve"> of </w:t>
      </w:r>
      <w:hyperlink r:id="rId11" w:history="1">
        <w:r w:rsidRPr="00D3430D">
          <w:rPr>
            <w:color w:val="0000FF"/>
            <w:u w:val="single"/>
          </w:rPr>
          <w:t>Application 1411.1</w:t>
        </w:r>
      </w:hyperlink>
      <w:r>
        <w:t>.</w:t>
      </w:r>
    </w:p>
    <w:p w14:paraId="2F928FA3" w14:textId="6AF58DD2" w:rsidR="0012086B" w:rsidRPr="00D3430D" w:rsidRDefault="0012086B" w:rsidP="007C2DC0">
      <w:pPr>
        <w:spacing w:before="240"/>
      </w:pPr>
      <w:r w:rsidRPr="00D3430D">
        <w:lastRenderedPageBreak/>
        <w:t>In determining the appropriateness of utilising an integrated economic model for the resubmission, MSAC noted that the Predisposition Genetic Testing Economics Working Group (PGTEWG) considered the concept of ‘joint production’. The working group proposed that performing genetic tests in affected individuals not only impacts their own utility or disutility values, but also those of their family members. In this regard, the cost of testing the affected individuals is incurred for the production of utility and/or disutility values relevant to both the affected individuals and their family members. The working group extended its rationale to note that, if utilities are joint-produced by genetic tests, the cost-utility analysis must also be reframed to include the associated outcomes (whether or not testing of family members is eventually supported in addition to testing affected individuals or not). In turn, MSAC accepted that there was a strong conceptual case to support the use of an integrated model which included the costs and effects of initially testing affected individuals and then also testing their family members according to the results of the tests for the affected individuals (</w:t>
      </w:r>
      <w:hyperlink r:id="rId12" w:history="1">
        <w:r w:rsidRPr="00D3430D">
          <w:rPr>
            <w:color w:val="0000FF"/>
            <w:u w:val="single"/>
          </w:rPr>
          <w:t>MSAC Application 1411.1 PSD</w:t>
        </w:r>
      </w:hyperlink>
      <w:r w:rsidRPr="00D3430D">
        <w:t>, p2-3).</w:t>
      </w:r>
    </w:p>
    <w:p w14:paraId="3B1D070C" w14:textId="6BF965E4" w:rsidR="0012086B" w:rsidRPr="00D3430D" w:rsidRDefault="0012086B" w:rsidP="007C2DC0">
      <w:pPr>
        <w:spacing w:before="240"/>
      </w:pPr>
      <w:r w:rsidRPr="00D3430D">
        <w:t>Key model inputs included:</w:t>
      </w:r>
    </w:p>
    <w:p w14:paraId="63A4359E" w14:textId="77777777" w:rsidR="0012086B" w:rsidRPr="00D3430D" w:rsidRDefault="0012086B" w:rsidP="0012086B">
      <w:pPr>
        <w:numPr>
          <w:ilvl w:val="0"/>
          <w:numId w:val="27"/>
        </w:numPr>
        <w:contextualSpacing/>
      </w:pPr>
      <w:r w:rsidRPr="00D3430D">
        <w:t xml:space="preserve">The model used age-specific incidence of both breast and ovarian cancers. A pathogenic </w:t>
      </w:r>
      <w:r w:rsidRPr="00AD358F">
        <w:rPr>
          <w:i/>
        </w:rPr>
        <w:t>BRCA</w:t>
      </w:r>
      <w:r w:rsidRPr="00D3430D">
        <w:t xml:space="preserve"> variant is likely to increase the risk of breast and ovarian cancers at an earlier age compared to the general population (</w:t>
      </w:r>
      <w:hyperlink r:id="rId13" w:history="1">
        <w:r w:rsidRPr="00D3430D">
          <w:rPr>
            <w:color w:val="0000FF"/>
            <w:u w:val="single"/>
          </w:rPr>
          <w:t>Application 1411.1 Economic Evaluation Report</w:t>
        </w:r>
      </w:hyperlink>
      <w:r w:rsidRPr="00D3430D">
        <w:t>, p3).</w:t>
      </w:r>
    </w:p>
    <w:p w14:paraId="2DA9DB92" w14:textId="243718FE" w:rsidR="0012086B" w:rsidRPr="00D3430D" w:rsidRDefault="0012086B" w:rsidP="0012086B">
      <w:pPr>
        <w:numPr>
          <w:ilvl w:val="0"/>
          <w:numId w:val="27"/>
        </w:numPr>
        <w:contextualSpacing/>
      </w:pPr>
      <w:r w:rsidRPr="00D3430D">
        <w:t xml:space="preserve">15% of affected individuals will test positive for a </w:t>
      </w:r>
      <w:r w:rsidRPr="00D3430D">
        <w:rPr>
          <w:i/>
        </w:rPr>
        <w:t>BRCA1</w:t>
      </w:r>
      <w:r w:rsidRPr="00D3430D">
        <w:t xml:space="preserve">or </w:t>
      </w:r>
      <w:r w:rsidRPr="00D3430D">
        <w:rPr>
          <w:i/>
        </w:rPr>
        <w:t>BRCA2</w:t>
      </w:r>
      <w:r w:rsidR="00857836" w:rsidRPr="00857836">
        <w:t xml:space="preserve"> </w:t>
      </w:r>
      <w:r w:rsidRPr="00D3430D">
        <w:t xml:space="preserve">mutation </w:t>
      </w:r>
      <w:r w:rsidR="00452139">
        <w:t xml:space="preserve">[variant] </w:t>
      </w:r>
      <w:r w:rsidRPr="00D3430D">
        <w:t>(</w:t>
      </w:r>
      <w:hyperlink r:id="rId14" w:history="1">
        <w:r w:rsidRPr="00D3430D">
          <w:rPr>
            <w:color w:val="0000FF"/>
            <w:u w:val="single"/>
          </w:rPr>
          <w:t>Application 1411.1 Economic Evaluation Report</w:t>
        </w:r>
      </w:hyperlink>
      <w:r w:rsidRPr="00D3430D">
        <w:t>, p4). Instead of adopting the cancer risk from</w:t>
      </w:r>
      <w:r w:rsidR="00857836">
        <w:t xml:space="preserve"> a</w:t>
      </w:r>
      <w:r w:rsidRPr="00D3430D">
        <w:t xml:space="preserve"> </w:t>
      </w:r>
      <w:r w:rsidRPr="00D3430D">
        <w:rPr>
          <w:i/>
        </w:rPr>
        <w:t xml:space="preserve">BRCA1 </w:t>
      </w:r>
      <w:r w:rsidRPr="00D3430D">
        <w:t xml:space="preserve">mutation </w:t>
      </w:r>
      <w:r w:rsidR="00452139">
        <w:t xml:space="preserve">[variant] </w:t>
      </w:r>
      <w:r w:rsidRPr="00D3430D">
        <w:t xml:space="preserve">only, the model considered the lower risk with </w:t>
      </w:r>
      <w:r w:rsidR="00857836">
        <w:t xml:space="preserve">a </w:t>
      </w:r>
      <w:r w:rsidRPr="00D3430D">
        <w:rPr>
          <w:i/>
        </w:rPr>
        <w:t>BRCA2</w:t>
      </w:r>
      <w:r w:rsidR="00857836" w:rsidRPr="00857836">
        <w:t xml:space="preserve"> </w:t>
      </w:r>
      <w:r w:rsidRPr="00D3430D">
        <w:t xml:space="preserve">mutation </w:t>
      </w:r>
      <w:r w:rsidR="00452139">
        <w:t xml:space="preserve">[variant] </w:t>
      </w:r>
      <w:r w:rsidRPr="00D3430D">
        <w:t xml:space="preserve">and used the weighted average risk based on 54% and 46% </w:t>
      </w:r>
      <w:proofErr w:type="spellStart"/>
      <w:r w:rsidRPr="00D3430D">
        <w:t>prevalence</w:t>
      </w:r>
      <w:r w:rsidR="00857836">
        <w:t>s</w:t>
      </w:r>
      <w:proofErr w:type="spellEnd"/>
      <w:r w:rsidRPr="00D3430D">
        <w:t xml:space="preserve"> for </w:t>
      </w:r>
      <w:r w:rsidRPr="00D3430D">
        <w:rPr>
          <w:i/>
        </w:rPr>
        <w:t>BRCA1</w:t>
      </w:r>
      <w:r w:rsidR="00857836" w:rsidRPr="00857836">
        <w:t xml:space="preserve"> </w:t>
      </w:r>
      <w:r w:rsidRPr="00D3430D">
        <w:t xml:space="preserve">and </w:t>
      </w:r>
      <w:r w:rsidRPr="00AD358F">
        <w:rPr>
          <w:i/>
        </w:rPr>
        <w:t>BRCA2</w:t>
      </w:r>
      <w:r w:rsidRPr="00D3430D">
        <w:t>, respectively (</w:t>
      </w:r>
      <w:hyperlink r:id="rId15" w:history="1">
        <w:r w:rsidRPr="00D3430D">
          <w:rPr>
            <w:color w:val="0000FF"/>
            <w:u w:val="single"/>
          </w:rPr>
          <w:t>Application 1411.1 Economic Evaluation Report</w:t>
        </w:r>
      </w:hyperlink>
      <w:r w:rsidRPr="00D3430D">
        <w:t>, p3).</w:t>
      </w:r>
    </w:p>
    <w:p w14:paraId="68593C77" w14:textId="77777777" w:rsidR="0012086B" w:rsidRPr="00D3430D" w:rsidRDefault="0012086B" w:rsidP="0012086B">
      <w:pPr>
        <w:numPr>
          <w:ilvl w:val="0"/>
          <w:numId w:val="27"/>
        </w:numPr>
        <w:contextualSpacing/>
      </w:pPr>
      <w:r w:rsidRPr="00D3430D">
        <w:t>The scenario analysis of first-degree relatives considered first degree female family members (children and siblings) of probands (</w:t>
      </w:r>
      <w:hyperlink r:id="rId16" w:history="1">
        <w:r w:rsidRPr="00D3430D">
          <w:rPr>
            <w:color w:val="0000FF"/>
            <w:u w:val="single"/>
          </w:rPr>
          <w:t>Application 1411.1 Economic Evaluation Report</w:t>
        </w:r>
      </w:hyperlink>
      <w:r w:rsidRPr="00D3430D">
        <w:t>, p3). Mothers of affected individuals were excluded since at an age of &gt;65 years on average, there is little utility of genetic testing to prevent future cancer (</w:t>
      </w:r>
      <w:hyperlink r:id="rId17" w:history="1">
        <w:r w:rsidRPr="00D3430D">
          <w:rPr>
            <w:color w:val="0000FF"/>
            <w:u w:val="single"/>
          </w:rPr>
          <w:t>Application 1411.1 Economic Evaluation Report</w:t>
        </w:r>
      </w:hyperlink>
      <w:r w:rsidRPr="00D3430D">
        <w:t>, p4).</w:t>
      </w:r>
    </w:p>
    <w:p w14:paraId="4271858F" w14:textId="23173E75" w:rsidR="0012086B" w:rsidRPr="00D3430D" w:rsidRDefault="0012086B" w:rsidP="0012086B">
      <w:pPr>
        <w:numPr>
          <w:ilvl w:val="0"/>
          <w:numId w:val="27"/>
        </w:numPr>
        <w:contextualSpacing/>
      </w:pPr>
      <w:r w:rsidRPr="00D3430D">
        <w:t>In the scenario analysis</w:t>
      </w:r>
      <w:r>
        <w:t>,</w:t>
      </w:r>
      <w:r w:rsidRPr="00D3430D">
        <w:t xml:space="preserve"> the second degree family members (female children of siblings who test positive) </w:t>
      </w:r>
      <w:r>
        <w:t>we</w:t>
      </w:r>
      <w:r w:rsidRPr="00D3430D">
        <w:t>re also considered. Male siblings were not be included in the model</w:t>
      </w:r>
      <w:r w:rsidR="00857836">
        <w:t>,</w:t>
      </w:r>
      <w:r w:rsidRPr="00D3430D">
        <w:t xml:space="preserve"> but the cost of testing them w</w:t>
      </w:r>
      <w:r w:rsidR="00857836">
        <w:t>as</w:t>
      </w:r>
      <w:r w:rsidRPr="00D3430D">
        <w:t xml:space="preserve"> included to inform the need to test their children (</w:t>
      </w:r>
      <w:hyperlink r:id="rId18" w:history="1">
        <w:r w:rsidRPr="00D3430D">
          <w:rPr>
            <w:color w:val="0000FF"/>
            <w:u w:val="single"/>
          </w:rPr>
          <w:t>Application 1411.1 Economic Evaluation Report</w:t>
        </w:r>
      </w:hyperlink>
      <w:r w:rsidRPr="00D3430D">
        <w:t>, p5).</w:t>
      </w:r>
    </w:p>
    <w:p w14:paraId="601C8F56" w14:textId="3AA33939" w:rsidR="0012086B" w:rsidRPr="00D3430D" w:rsidRDefault="0012086B" w:rsidP="007C2DC0">
      <w:pPr>
        <w:spacing w:before="240"/>
      </w:pPr>
      <w:r w:rsidRPr="00D3430D">
        <w:t xml:space="preserve">MSAC noted that the impact of genetic testing compared to no testing for affected individuals and their first-degree family members (female siblings and female children of identified probands) was considered as the base case analysis, with their second-degree family members (female children of positively tested male and female siblings of identified probands) considered in a scenario analysis (refer to </w:t>
      </w:r>
      <w:r w:rsidRPr="006C2E0B">
        <w:rPr>
          <w:szCs w:val="24"/>
        </w:rPr>
        <w:fldChar w:fldCharType="begin"/>
      </w:r>
      <w:r w:rsidRPr="006C2E0B">
        <w:rPr>
          <w:szCs w:val="24"/>
        </w:rPr>
        <w:instrText xml:space="preserve"> REF _Ref63414568 \h </w:instrText>
      </w:r>
      <w:r w:rsidR="006C2E0B" w:rsidRPr="006C2E0B">
        <w:rPr>
          <w:szCs w:val="24"/>
        </w:rPr>
        <w:instrText xml:space="preserve"> \* MERGEFORMAT </w:instrText>
      </w:r>
      <w:r w:rsidRPr="006C2E0B">
        <w:rPr>
          <w:szCs w:val="24"/>
        </w:rPr>
      </w:r>
      <w:r w:rsidRPr="006C2E0B">
        <w:rPr>
          <w:szCs w:val="24"/>
        </w:rPr>
        <w:fldChar w:fldCharType="separate"/>
      </w:r>
      <w:r w:rsidR="006C2E0B" w:rsidRPr="006C2E0B">
        <w:rPr>
          <w:iCs/>
          <w:szCs w:val="24"/>
          <w:lang w:eastAsia="en-US"/>
        </w:rPr>
        <w:t xml:space="preserve">Figure </w:t>
      </w:r>
      <w:r w:rsidR="006C2E0B" w:rsidRPr="006C2E0B">
        <w:rPr>
          <w:iCs/>
          <w:noProof/>
          <w:szCs w:val="24"/>
          <w:lang w:eastAsia="en-US"/>
        </w:rPr>
        <w:t>1</w:t>
      </w:r>
      <w:r w:rsidRPr="006C2E0B">
        <w:rPr>
          <w:szCs w:val="24"/>
        </w:rPr>
        <w:fldChar w:fldCharType="end"/>
      </w:r>
      <w:r w:rsidRPr="00D3430D">
        <w:t xml:space="preserve">; </w:t>
      </w:r>
      <w:hyperlink r:id="rId19" w:history="1">
        <w:r w:rsidRPr="00D3430D">
          <w:rPr>
            <w:color w:val="0000FF"/>
            <w:u w:val="single"/>
          </w:rPr>
          <w:t>MSAC Application 1411.1 PSD</w:t>
        </w:r>
      </w:hyperlink>
      <w:r>
        <w:t>, p3).</w:t>
      </w:r>
    </w:p>
    <w:p w14:paraId="06F4B393" w14:textId="47B344CF" w:rsidR="0012086B" w:rsidRPr="007C2DC0" w:rsidRDefault="0012086B" w:rsidP="007C2DC0">
      <w:pPr>
        <w:keepNext/>
      </w:pPr>
      <w:r w:rsidRPr="00D3430D">
        <w:rPr>
          <w:rFonts w:ascii="Arial" w:hAnsi="Arial" w:cs="Arial"/>
          <w:noProof/>
          <w:sz w:val="22"/>
          <w:szCs w:val="22"/>
        </w:rPr>
        <w:lastRenderedPageBreak/>
        <w:drawing>
          <wp:inline distT="0" distB="0" distL="0" distR="0" wp14:anchorId="0DD32F75" wp14:editId="79D066F4">
            <wp:extent cx="5722709" cy="2759384"/>
            <wp:effectExtent l="0" t="0" r="0" b="3175"/>
            <wp:docPr id="59" name="Picture 59" descr="Figure 4.2 Proband's family members included in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2761790"/>
                    </a:xfrm>
                    <a:prstGeom prst="rect">
                      <a:avLst/>
                    </a:prstGeom>
                    <a:noFill/>
                    <a:ln>
                      <a:noFill/>
                    </a:ln>
                  </pic:spPr>
                </pic:pic>
              </a:graphicData>
            </a:graphic>
          </wp:inline>
        </w:drawing>
      </w:r>
      <w:bookmarkStart w:id="0" w:name="_Ref63414568"/>
      <w:r w:rsidRPr="00D3430D">
        <w:rPr>
          <w:rFonts w:ascii="Arial Narrow" w:hAnsi="Arial Narrow" w:cs="Arial"/>
          <w:b/>
          <w:bCs/>
          <w:iCs/>
          <w:sz w:val="20"/>
          <w:lang w:eastAsia="en-US"/>
        </w:rPr>
        <w:t xml:space="preserve">Figure </w:t>
      </w:r>
      <w:r w:rsidRPr="00D3430D">
        <w:rPr>
          <w:rFonts w:ascii="Arial Narrow" w:hAnsi="Arial Narrow" w:cs="Arial"/>
          <w:b/>
          <w:bCs/>
          <w:iCs/>
          <w:sz w:val="20"/>
          <w:lang w:eastAsia="en-US"/>
        </w:rPr>
        <w:fldChar w:fldCharType="begin"/>
      </w:r>
      <w:r w:rsidRPr="00D3430D">
        <w:rPr>
          <w:rFonts w:ascii="Arial Narrow" w:hAnsi="Arial Narrow" w:cs="Arial"/>
          <w:b/>
          <w:bCs/>
          <w:iCs/>
          <w:sz w:val="20"/>
          <w:lang w:eastAsia="en-US"/>
        </w:rPr>
        <w:instrText xml:space="preserve"> SEQ Figure \* ARABIC </w:instrText>
      </w:r>
      <w:r w:rsidRPr="00D3430D">
        <w:rPr>
          <w:rFonts w:ascii="Arial Narrow" w:hAnsi="Arial Narrow" w:cs="Arial"/>
          <w:b/>
          <w:bCs/>
          <w:iCs/>
          <w:sz w:val="20"/>
          <w:lang w:eastAsia="en-US"/>
        </w:rPr>
        <w:fldChar w:fldCharType="separate"/>
      </w:r>
      <w:r w:rsidR="006C2E0B">
        <w:rPr>
          <w:rFonts w:ascii="Arial Narrow" w:hAnsi="Arial Narrow" w:cs="Arial"/>
          <w:b/>
          <w:bCs/>
          <w:iCs/>
          <w:noProof/>
          <w:sz w:val="20"/>
          <w:lang w:eastAsia="en-US"/>
        </w:rPr>
        <w:t>1</w:t>
      </w:r>
      <w:r w:rsidRPr="00D3430D">
        <w:rPr>
          <w:rFonts w:ascii="Arial Narrow" w:hAnsi="Arial Narrow" w:cs="Arial"/>
          <w:b/>
          <w:bCs/>
          <w:iCs/>
          <w:noProof/>
          <w:sz w:val="20"/>
          <w:lang w:eastAsia="en-US"/>
        </w:rPr>
        <w:fldChar w:fldCharType="end"/>
      </w:r>
      <w:bookmarkEnd w:id="0"/>
      <w:r w:rsidRPr="00D3430D">
        <w:rPr>
          <w:rFonts w:ascii="Arial Narrow" w:hAnsi="Arial Narrow" w:cs="Arial"/>
          <w:b/>
          <w:bCs/>
          <w:iCs/>
          <w:sz w:val="20"/>
          <w:lang w:eastAsia="en-US"/>
        </w:rPr>
        <w:tab/>
        <w:t>Proband’s family members included in the Application 1411.1 economic model</w:t>
      </w:r>
    </w:p>
    <w:p w14:paraId="7499C2A0" w14:textId="77777777" w:rsidR="0012086B" w:rsidRPr="00D3430D" w:rsidRDefault="0012086B" w:rsidP="0012086B">
      <w:pPr>
        <w:widowControl w:val="0"/>
        <w:spacing w:before="60" w:after="120"/>
        <w:contextualSpacing/>
        <w:rPr>
          <w:rFonts w:ascii="Arial Narrow" w:hAnsi="Arial Narrow" w:cs="Arial"/>
          <w:snapToGrid w:val="0"/>
          <w:sz w:val="18"/>
          <w:lang w:eastAsia="en-US"/>
        </w:rPr>
      </w:pPr>
      <w:r w:rsidRPr="00D3430D">
        <w:rPr>
          <w:rFonts w:ascii="Arial Narrow" w:hAnsi="Arial Narrow" w:cs="Arial"/>
          <w:snapToGrid w:val="0"/>
          <w:sz w:val="18"/>
          <w:lang w:eastAsia="en-US"/>
        </w:rPr>
        <w:t xml:space="preserve">Source: Figure 4.2, p5 of the </w:t>
      </w:r>
      <w:hyperlink r:id="rId21" w:history="1">
        <w:r w:rsidRPr="00D3430D">
          <w:rPr>
            <w:rFonts w:ascii="Arial Narrow" w:hAnsi="Arial Narrow" w:cs="Arial"/>
            <w:snapToGrid w:val="0"/>
            <w:color w:val="0000FF"/>
            <w:sz w:val="18"/>
            <w:u w:val="single"/>
            <w:lang w:eastAsia="en-US"/>
          </w:rPr>
          <w:t>Application 1411.1 Economic Evaluation Report</w:t>
        </w:r>
      </w:hyperlink>
    </w:p>
    <w:p w14:paraId="49CC651E" w14:textId="77777777" w:rsidR="0012086B" w:rsidRPr="00D3430D" w:rsidRDefault="0012086B" w:rsidP="0012086B">
      <w:pPr>
        <w:widowControl w:val="0"/>
        <w:spacing w:before="60" w:after="120"/>
        <w:contextualSpacing/>
        <w:rPr>
          <w:rFonts w:ascii="Arial Narrow" w:hAnsi="Arial Narrow" w:cs="Arial"/>
          <w:snapToGrid w:val="0"/>
          <w:sz w:val="18"/>
          <w:lang w:eastAsia="en-US"/>
        </w:rPr>
      </w:pPr>
      <w:r w:rsidRPr="00D3430D">
        <w:rPr>
          <w:rFonts w:ascii="Arial Narrow" w:hAnsi="Arial Narrow" w:cs="Arial"/>
          <w:snapToGrid w:val="0"/>
          <w:sz w:val="18"/>
          <w:lang w:eastAsia="en-US"/>
        </w:rPr>
        <w:t xml:space="preserve">Square = male; Circle = female. </w:t>
      </w:r>
    </w:p>
    <w:p w14:paraId="41500671" w14:textId="77777777" w:rsidR="0012086B" w:rsidRPr="00D3430D" w:rsidRDefault="0012086B" w:rsidP="0012086B">
      <w:pPr>
        <w:widowControl w:val="0"/>
        <w:spacing w:before="60" w:after="120"/>
        <w:contextualSpacing/>
        <w:rPr>
          <w:rFonts w:ascii="Arial Narrow" w:hAnsi="Arial Narrow" w:cs="Arial"/>
          <w:snapToGrid w:val="0"/>
          <w:sz w:val="18"/>
          <w:lang w:eastAsia="en-US"/>
        </w:rPr>
      </w:pPr>
      <w:r w:rsidRPr="00D3430D">
        <w:rPr>
          <w:rFonts w:ascii="Arial Narrow" w:hAnsi="Arial Narrow" w:cs="Arial"/>
          <w:snapToGrid w:val="0"/>
          <w:sz w:val="18"/>
          <w:lang w:eastAsia="en-US"/>
        </w:rPr>
        <w:t>*Male siblings will not be included in the model but the cost of testing them will be included in the scenario analysis to inform the need to test their children.</w:t>
      </w:r>
    </w:p>
    <w:p w14:paraId="35C58815" w14:textId="53B4A18A" w:rsidR="0012086B" w:rsidRPr="004C25E1" w:rsidRDefault="0012086B" w:rsidP="007C2DC0">
      <w:pPr>
        <w:spacing w:before="240"/>
      </w:pPr>
      <w:r w:rsidRPr="00D3430D">
        <w:fldChar w:fldCharType="begin"/>
      </w:r>
      <w:r w:rsidRPr="00D3430D">
        <w:instrText xml:space="preserve"> REF _Ref63840702 \h </w:instrText>
      </w:r>
      <w:r w:rsidR="006C2E0B">
        <w:instrText xml:space="preserve"> \* MERGEFORMAT </w:instrText>
      </w:r>
      <w:r w:rsidRPr="00D3430D">
        <w:fldChar w:fldCharType="separate"/>
      </w:r>
      <w:r w:rsidR="006C2E0B" w:rsidRPr="006C2E0B">
        <w:t>Table 1</w:t>
      </w:r>
      <w:r w:rsidRPr="00D3430D">
        <w:fldChar w:fldCharType="end"/>
      </w:r>
      <w:r w:rsidRPr="00D3430D">
        <w:t xml:space="preserve"> summarises the results of the economic evaluation when various cohorts were included in the model. MSAC </w:t>
      </w:r>
      <w:r w:rsidRPr="004C25E1">
        <w:t>noted that the base case ICER generated was less than the ICERs calculated in the previous analysis, with a cost of $</w:t>
      </w:r>
      <w:r w:rsidRPr="006B6B9E">
        <w:t>18,283</w:t>
      </w:r>
      <w:r w:rsidRPr="004C25E1">
        <w:t xml:space="preserve"> per QALY gained. MSAC also considered that the scenario analyses, incorporating different assumptions about the extent to which family members are tested, did not have a large effect on the ICERs: for affected individuals only ($</w:t>
      </w:r>
      <w:r w:rsidRPr="006B6B9E">
        <w:t>21,303</w:t>
      </w:r>
      <w:r w:rsidRPr="004C25E1">
        <w:t>/QALY), for affected individuals plus identified probands’ female siblings only ($</w:t>
      </w:r>
      <w:r w:rsidRPr="006B6B9E">
        <w:t>18,241</w:t>
      </w:r>
      <w:r w:rsidRPr="004C25E1">
        <w:t>/QALY), for affected individuals plus identified probands’ female children only ($</w:t>
      </w:r>
      <w:r w:rsidRPr="006B6B9E">
        <w:t>20,987</w:t>
      </w:r>
      <w:r w:rsidRPr="004C25E1">
        <w:t>/QALY), and for affected individuals plus identified probands’ first and second-degree family members ($</w:t>
      </w:r>
      <w:r w:rsidRPr="006B6B9E">
        <w:t>18,752</w:t>
      </w:r>
      <w:r w:rsidRPr="004C25E1">
        <w:t xml:space="preserve">/QALY, </w:t>
      </w:r>
      <w:hyperlink r:id="rId22" w:history="1">
        <w:r w:rsidR="00675031" w:rsidRPr="00675031">
          <w:rPr>
            <w:rStyle w:val="Hyperlink"/>
          </w:rPr>
          <w:t>MSAC Application 1411.1 PSD</w:t>
        </w:r>
      </w:hyperlink>
      <w:r w:rsidRPr="004C25E1">
        <w:t>, p3).</w:t>
      </w:r>
    </w:p>
    <w:p w14:paraId="511248C3" w14:textId="41DC0F3C" w:rsidR="0012086B" w:rsidRPr="00D3430D" w:rsidRDefault="0012086B" w:rsidP="007C2DC0">
      <w:pPr>
        <w:spacing w:before="240"/>
      </w:pPr>
      <w:r w:rsidRPr="004C25E1">
        <w:t xml:space="preserve">MSAC also explored the impact of limiting the revised model to genetic testing for the identification of </w:t>
      </w:r>
      <w:r w:rsidRPr="004C25E1">
        <w:rPr>
          <w:i/>
        </w:rPr>
        <w:t xml:space="preserve">BRCA1 </w:t>
      </w:r>
      <w:r w:rsidRPr="004C25E1">
        <w:t xml:space="preserve">mutations </w:t>
      </w:r>
      <w:r w:rsidR="00452139">
        <w:t xml:space="preserve">[variants] </w:t>
      </w:r>
      <w:r w:rsidRPr="004C25E1">
        <w:t xml:space="preserve">alone and </w:t>
      </w:r>
      <w:r w:rsidRPr="004C25E1">
        <w:rPr>
          <w:i/>
        </w:rPr>
        <w:t xml:space="preserve">BRCA2 </w:t>
      </w:r>
      <w:r w:rsidRPr="004C25E1">
        <w:t xml:space="preserve">mutations </w:t>
      </w:r>
      <w:r w:rsidR="00452139">
        <w:t xml:space="preserve">[variants] </w:t>
      </w:r>
      <w:r w:rsidRPr="004C25E1">
        <w:t xml:space="preserve">alone on the ICERs generated. When the model was limited to </w:t>
      </w:r>
      <w:r w:rsidRPr="004C25E1">
        <w:rPr>
          <w:i/>
        </w:rPr>
        <w:t xml:space="preserve">BRCA2 </w:t>
      </w:r>
      <w:r w:rsidRPr="004C25E1">
        <w:t>testing, this led to a reduced QALY increment of 0.13 and a less favourable ICER of $</w:t>
      </w:r>
      <w:r w:rsidRPr="006B6B9E">
        <w:t>31,562</w:t>
      </w:r>
      <w:r w:rsidRPr="004C25E1">
        <w:t xml:space="preserve"> per</w:t>
      </w:r>
      <w:r w:rsidRPr="00D3430D">
        <w:t xml:space="preserve"> QALY. In turn, MSAC noted that the addition of </w:t>
      </w:r>
      <w:r w:rsidRPr="00D3430D">
        <w:rPr>
          <w:i/>
        </w:rPr>
        <w:t xml:space="preserve">BRCA2 </w:t>
      </w:r>
      <w:r w:rsidRPr="00D3430D">
        <w:t xml:space="preserve">testing in the primary analysis made the ICER less favourable, while </w:t>
      </w:r>
      <w:r w:rsidRPr="00D3430D">
        <w:rPr>
          <w:i/>
        </w:rPr>
        <w:t xml:space="preserve">BRCA1 </w:t>
      </w:r>
      <w:r w:rsidRPr="00D3430D">
        <w:t>testing, given its association with the detection of early disease and consequent improvements in life expectancy, represented the main driver behind the ICER presented for the base case (</w:t>
      </w:r>
      <w:hyperlink r:id="rId23" w:history="1">
        <w:r w:rsidRPr="00D3430D">
          <w:rPr>
            <w:color w:val="0000FF"/>
            <w:u w:val="single"/>
          </w:rPr>
          <w:t>MSAC Application 1411.1 PSD</w:t>
        </w:r>
      </w:hyperlink>
      <w:r>
        <w:t>, p4).</w:t>
      </w:r>
    </w:p>
    <w:p w14:paraId="1396FE30" w14:textId="49A1148E" w:rsidR="0012086B" w:rsidRPr="00D3430D" w:rsidRDefault="0012086B" w:rsidP="007C2DC0">
      <w:pPr>
        <w:spacing w:before="240"/>
      </w:pPr>
      <w:r w:rsidRPr="00D3430D">
        <w:t>MSAC also noted that the revised model in the current application did not capture the testing of parents or male children in scenario analyses and that these should be conducted, if relevant to diseases presented in future applications (</w:t>
      </w:r>
      <w:hyperlink r:id="rId24" w:history="1">
        <w:r w:rsidRPr="00D3430D">
          <w:rPr>
            <w:color w:val="0000FF"/>
            <w:u w:val="single"/>
          </w:rPr>
          <w:t>MSAC Application 1411.1 PSD</w:t>
        </w:r>
      </w:hyperlink>
      <w:r w:rsidRPr="00D3430D">
        <w:t>, p7).</w:t>
      </w:r>
    </w:p>
    <w:p w14:paraId="22A22D63" w14:textId="0F357165" w:rsidR="0012086B" w:rsidRPr="00D3430D" w:rsidRDefault="0012086B" w:rsidP="0012086B">
      <w:pPr>
        <w:keepNext/>
        <w:spacing w:after="40"/>
        <w:outlineLvl w:val="4"/>
        <w:rPr>
          <w:rFonts w:ascii="Arial Narrow" w:hAnsi="Arial Narrow" w:cs="Arial"/>
          <w:b/>
          <w:bCs/>
          <w:iCs/>
          <w:sz w:val="20"/>
          <w:lang w:eastAsia="en-US"/>
        </w:rPr>
      </w:pPr>
      <w:bookmarkStart w:id="1" w:name="_Ref63840702"/>
      <w:r w:rsidRPr="00D3430D">
        <w:rPr>
          <w:rFonts w:ascii="Arial Narrow" w:hAnsi="Arial Narrow" w:cs="Arial"/>
          <w:b/>
          <w:bCs/>
          <w:iCs/>
          <w:sz w:val="20"/>
          <w:lang w:eastAsia="en-US"/>
        </w:rPr>
        <w:lastRenderedPageBreak/>
        <w:t xml:space="preserve">Table </w:t>
      </w:r>
      <w:r w:rsidRPr="00D3430D">
        <w:rPr>
          <w:rFonts w:ascii="Arial Narrow" w:hAnsi="Arial Narrow" w:cs="Arial"/>
          <w:b/>
          <w:bCs/>
          <w:iCs/>
          <w:sz w:val="20"/>
          <w:lang w:eastAsia="en-US"/>
        </w:rPr>
        <w:fldChar w:fldCharType="begin"/>
      </w:r>
      <w:r w:rsidRPr="00D3430D">
        <w:rPr>
          <w:rFonts w:ascii="Arial Narrow" w:hAnsi="Arial Narrow" w:cs="Arial"/>
          <w:b/>
          <w:bCs/>
          <w:iCs/>
          <w:sz w:val="20"/>
          <w:lang w:eastAsia="en-US"/>
        </w:rPr>
        <w:instrText xml:space="preserve"> SEQ Table \* ARABIC </w:instrText>
      </w:r>
      <w:r w:rsidRPr="00D3430D">
        <w:rPr>
          <w:rFonts w:ascii="Arial Narrow" w:hAnsi="Arial Narrow" w:cs="Arial"/>
          <w:b/>
          <w:bCs/>
          <w:iCs/>
          <w:sz w:val="20"/>
          <w:lang w:eastAsia="en-US"/>
        </w:rPr>
        <w:fldChar w:fldCharType="separate"/>
      </w:r>
      <w:r w:rsidR="006C2E0B">
        <w:rPr>
          <w:rFonts w:ascii="Arial Narrow" w:hAnsi="Arial Narrow" w:cs="Arial"/>
          <w:b/>
          <w:bCs/>
          <w:iCs/>
          <w:noProof/>
          <w:sz w:val="20"/>
          <w:lang w:eastAsia="en-US"/>
        </w:rPr>
        <w:t>1</w:t>
      </w:r>
      <w:r w:rsidRPr="00D3430D">
        <w:rPr>
          <w:rFonts w:ascii="Arial Narrow" w:hAnsi="Arial Narrow" w:cs="Arial"/>
          <w:b/>
          <w:bCs/>
          <w:iCs/>
          <w:noProof/>
          <w:sz w:val="20"/>
          <w:lang w:eastAsia="en-US"/>
        </w:rPr>
        <w:fldChar w:fldCharType="end"/>
      </w:r>
      <w:bookmarkEnd w:id="1"/>
      <w:r w:rsidRPr="00D3430D">
        <w:rPr>
          <w:rFonts w:ascii="Arial Narrow" w:hAnsi="Arial Narrow" w:cs="Arial"/>
          <w:b/>
          <w:bCs/>
          <w:iCs/>
          <w:sz w:val="20"/>
          <w:lang w:eastAsia="en-US"/>
        </w:rPr>
        <w:tab/>
        <w:t>Incremental costs and effects for testing various cohorts in Application 1411.1</w:t>
      </w:r>
    </w:p>
    <w:tbl>
      <w:tblPr>
        <w:tblStyle w:val="TableGrid3"/>
        <w:tblW w:w="9209" w:type="dxa"/>
        <w:tblLook w:val="04A0" w:firstRow="1" w:lastRow="0" w:firstColumn="1" w:lastColumn="0" w:noHBand="0" w:noVBand="1"/>
        <w:tblDescription w:val="Table 6.6 Incremental costs and effects for testing various groups"/>
      </w:tblPr>
      <w:tblGrid>
        <w:gridCol w:w="3964"/>
        <w:gridCol w:w="851"/>
        <w:gridCol w:w="709"/>
        <w:gridCol w:w="1275"/>
        <w:gridCol w:w="1276"/>
        <w:gridCol w:w="1134"/>
      </w:tblGrid>
      <w:tr w:rsidR="0012086B" w:rsidRPr="00D3430D" w14:paraId="58813336" w14:textId="77777777" w:rsidTr="00C93AD6">
        <w:trPr>
          <w:tblHeader/>
        </w:trPr>
        <w:tc>
          <w:tcPr>
            <w:tcW w:w="3964" w:type="dxa"/>
          </w:tcPr>
          <w:p w14:paraId="42B40069" w14:textId="77777777" w:rsidR="0012086B" w:rsidRPr="00D3430D" w:rsidRDefault="0012086B" w:rsidP="00AB5518">
            <w:pPr>
              <w:keepNext/>
              <w:rPr>
                <w:rFonts w:ascii="Arial Narrow" w:eastAsia="Calibri" w:hAnsi="Arial Narrow" w:cs="Arial"/>
                <w:color w:val="000000"/>
                <w:sz w:val="20"/>
              </w:rPr>
            </w:pPr>
          </w:p>
        </w:tc>
        <w:tc>
          <w:tcPr>
            <w:tcW w:w="851" w:type="dxa"/>
          </w:tcPr>
          <w:p w14:paraId="0E80A6FF" w14:textId="77777777" w:rsidR="0012086B" w:rsidRPr="007018AA" w:rsidRDefault="0012086B" w:rsidP="00AB5518">
            <w:pPr>
              <w:keepNext/>
              <w:jc w:val="center"/>
              <w:rPr>
                <w:rFonts w:ascii="Arial Narrow" w:eastAsia="Calibri" w:hAnsi="Arial Narrow" w:cs="Arial"/>
                <w:b/>
                <w:color w:val="000000"/>
                <w:sz w:val="20"/>
              </w:rPr>
            </w:pPr>
            <w:r w:rsidRPr="007018AA">
              <w:rPr>
                <w:rFonts w:ascii="Arial Narrow" w:eastAsia="Calibri" w:hAnsi="Arial Narrow" w:cs="Arial"/>
                <w:b/>
                <w:color w:val="000000"/>
                <w:sz w:val="20"/>
              </w:rPr>
              <w:t>Cost</w:t>
            </w:r>
          </w:p>
        </w:tc>
        <w:tc>
          <w:tcPr>
            <w:tcW w:w="709" w:type="dxa"/>
          </w:tcPr>
          <w:p w14:paraId="789338DC" w14:textId="77777777" w:rsidR="0012086B" w:rsidRPr="007018AA" w:rsidRDefault="0012086B" w:rsidP="00AB5518">
            <w:pPr>
              <w:keepNext/>
              <w:jc w:val="center"/>
              <w:rPr>
                <w:rFonts w:ascii="Arial Narrow" w:eastAsia="Calibri" w:hAnsi="Arial Narrow" w:cs="Arial"/>
                <w:b/>
                <w:color w:val="000000"/>
                <w:sz w:val="20"/>
              </w:rPr>
            </w:pPr>
            <w:r w:rsidRPr="007018AA">
              <w:rPr>
                <w:rFonts w:ascii="Arial Narrow" w:eastAsia="Calibri" w:hAnsi="Arial Narrow" w:cs="Arial"/>
                <w:b/>
                <w:color w:val="000000"/>
                <w:sz w:val="20"/>
              </w:rPr>
              <w:t>QALY</w:t>
            </w:r>
          </w:p>
        </w:tc>
        <w:tc>
          <w:tcPr>
            <w:tcW w:w="1275" w:type="dxa"/>
          </w:tcPr>
          <w:p w14:paraId="42F940EA" w14:textId="77777777" w:rsidR="0012086B" w:rsidRPr="007018AA" w:rsidRDefault="0012086B" w:rsidP="00AB5518">
            <w:pPr>
              <w:keepNext/>
              <w:jc w:val="center"/>
              <w:rPr>
                <w:rFonts w:ascii="Arial Narrow" w:eastAsia="Calibri" w:hAnsi="Arial Narrow" w:cs="Arial"/>
                <w:b/>
                <w:color w:val="000000"/>
                <w:sz w:val="20"/>
              </w:rPr>
            </w:pPr>
            <w:r w:rsidRPr="007018AA">
              <w:rPr>
                <w:rFonts w:ascii="Arial Narrow" w:eastAsia="Calibri" w:hAnsi="Arial Narrow" w:cs="Arial"/>
                <w:b/>
                <w:color w:val="000000"/>
                <w:sz w:val="20"/>
              </w:rPr>
              <w:t>Incremental cost</w:t>
            </w:r>
          </w:p>
        </w:tc>
        <w:tc>
          <w:tcPr>
            <w:tcW w:w="1276" w:type="dxa"/>
          </w:tcPr>
          <w:p w14:paraId="6F3C278C" w14:textId="77777777" w:rsidR="0012086B" w:rsidRPr="007018AA" w:rsidRDefault="0012086B" w:rsidP="00AB5518">
            <w:pPr>
              <w:keepNext/>
              <w:jc w:val="center"/>
              <w:rPr>
                <w:rFonts w:ascii="Arial Narrow" w:eastAsia="Calibri" w:hAnsi="Arial Narrow" w:cs="Arial"/>
                <w:b/>
                <w:color w:val="000000"/>
                <w:sz w:val="20"/>
              </w:rPr>
            </w:pPr>
            <w:r w:rsidRPr="007018AA">
              <w:rPr>
                <w:rFonts w:ascii="Arial Narrow" w:eastAsia="Calibri" w:hAnsi="Arial Narrow" w:cs="Arial"/>
                <w:b/>
                <w:color w:val="000000"/>
                <w:sz w:val="20"/>
              </w:rPr>
              <w:t>Incremental effect</w:t>
            </w:r>
          </w:p>
        </w:tc>
        <w:tc>
          <w:tcPr>
            <w:tcW w:w="1134" w:type="dxa"/>
          </w:tcPr>
          <w:p w14:paraId="71C61E31" w14:textId="77777777" w:rsidR="0012086B" w:rsidRPr="007018AA" w:rsidRDefault="0012086B" w:rsidP="00AB5518">
            <w:pPr>
              <w:keepNext/>
              <w:jc w:val="center"/>
              <w:rPr>
                <w:rFonts w:ascii="Arial Narrow" w:eastAsia="Calibri" w:hAnsi="Arial Narrow" w:cs="Arial"/>
                <w:b/>
                <w:color w:val="000000"/>
                <w:sz w:val="20"/>
              </w:rPr>
            </w:pPr>
            <w:r w:rsidRPr="007018AA">
              <w:rPr>
                <w:rFonts w:ascii="Arial Narrow" w:eastAsia="Calibri" w:hAnsi="Arial Narrow" w:cs="Arial"/>
                <w:b/>
                <w:color w:val="000000"/>
                <w:sz w:val="20"/>
              </w:rPr>
              <w:t>ICER/QALY</w:t>
            </w:r>
          </w:p>
        </w:tc>
      </w:tr>
      <w:tr w:rsidR="0012086B" w:rsidRPr="00D3430D" w14:paraId="7AFE23A8" w14:textId="77777777" w:rsidTr="00C93AD6">
        <w:tc>
          <w:tcPr>
            <w:tcW w:w="3964" w:type="dxa"/>
          </w:tcPr>
          <w:p w14:paraId="6F9690BB" w14:textId="77777777" w:rsidR="0012086B" w:rsidRPr="00D3430D" w:rsidRDefault="0012086B" w:rsidP="00AB5518">
            <w:pPr>
              <w:keepNext/>
              <w:rPr>
                <w:rFonts w:ascii="Arial Narrow" w:eastAsia="Calibri" w:hAnsi="Arial Narrow" w:cs="Arial"/>
                <w:color w:val="000000"/>
                <w:sz w:val="20"/>
              </w:rPr>
            </w:pPr>
            <w:r w:rsidRPr="00D3430D">
              <w:rPr>
                <w:rFonts w:ascii="Arial Narrow" w:eastAsia="Calibri" w:hAnsi="Arial Narrow" w:cs="Arial"/>
                <w:color w:val="000000"/>
                <w:sz w:val="20"/>
              </w:rPr>
              <w:t>Affected individuals only</w:t>
            </w:r>
          </w:p>
        </w:tc>
        <w:tc>
          <w:tcPr>
            <w:tcW w:w="851" w:type="dxa"/>
          </w:tcPr>
          <w:p w14:paraId="7E3B4845" w14:textId="77777777" w:rsidR="0012086B" w:rsidRPr="004C25E1" w:rsidRDefault="0012086B" w:rsidP="00AB5518">
            <w:pPr>
              <w:keepNext/>
              <w:jc w:val="center"/>
              <w:rPr>
                <w:rFonts w:ascii="Arial Narrow" w:eastAsia="Calibri" w:hAnsi="Arial Narrow" w:cs="Arial"/>
                <w:color w:val="000000"/>
                <w:sz w:val="20"/>
              </w:rPr>
            </w:pPr>
            <w:r w:rsidRPr="004C25E1">
              <w:rPr>
                <w:rFonts w:ascii="Arial Narrow" w:eastAsia="Calibri" w:hAnsi="Arial Narrow" w:cs="Arial"/>
                <w:color w:val="000000"/>
                <w:sz w:val="20"/>
              </w:rPr>
              <w:t>$</w:t>
            </w:r>
            <w:r w:rsidRPr="006B6B9E">
              <w:rPr>
                <w:rFonts w:ascii="Arial Narrow" w:eastAsia="Calibri" w:hAnsi="Arial Narrow" w:cs="Arial"/>
                <w:color w:val="000000"/>
                <w:sz w:val="20"/>
              </w:rPr>
              <w:t>6,012</w:t>
            </w:r>
          </w:p>
        </w:tc>
        <w:tc>
          <w:tcPr>
            <w:tcW w:w="709" w:type="dxa"/>
          </w:tcPr>
          <w:p w14:paraId="43508676" w14:textId="77777777" w:rsidR="0012086B" w:rsidRPr="004C25E1" w:rsidRDefault="0012086B" w:rsidP="00AB5518">
            <w:pPr>
              <w:keepNext/>
              <w:jc w:val="center"/>
              <w:rPr>
                <w:rFonts w:ascii="Arial Narrow" w:eastAsia="Calibri" w:hAnsi="Arial Narrow" w:cs="Arial"/>
                <w:color w:val="000000"/>
                <w:sz w:val="20"/>
              </w:rPr>
            </w:pPr>
            <w:r w:rsidRPr="006B6B9E">
              <w:rPr>
                <w:rFonts w:ascii="Arial Narrow" w:eastAsia="Calibri" w:hAnsi="Arial Narrow" w:cs="Arial"/>
                <w:color w:val="000000"/>
                <w:sz w:val="20"/>
              </w:rPr>
              <w:t>17.42</w:t>
            </w:r>
          </w:p>
        </w:tc>
        <w:tc>
          <w:tcPr>
            <w:tcW w:w="1275" w:type="dxa"/>
          </w:tcPr>
          <w:p w14:paraId="03433F67" w14:textId="77777777" w:rsidR="0012086B" w:rsidRPr="004C25E1" w:rsidRDefault="0012086B" w:rsidP="00AB5518">
            <w:pPr>
              <w:keepNext/>
              <w:jc w:val="center"/>
              <w:rPr>
                <w:rFonts w:ascii="Arial Narrow" w:eastAsia="Calibri" w:hAnsi="Arial Narrow" w:cs="Arial"/>
                <w:color w:val="000000"/>
                <w:sz w:val="20"/>
              </w:rPr>
            </w:pPr>
            <w:r w:rsidRPr="004C25E1">
              <w:rPr>
                <w:rFonts w:ascii="Arial Narrow" w:eastAsia="Calibri" w:hAnsi="Arial Narrow" w:cs="Arial"/>
                <w:color w:val="000000"/>
                <w:sz w:val="20"/>
              </w:rPr>
              <w:t>$</w:t>
            </w:r>
            <w:r w:rsidRPr="006B6B9E">
              <w:rPr>
                <w:rFonts w:ascii="Arial Narrow" w:eastAsia="Calibri" w:hAnsi="Arial Narrow" w:cs="Arial"/>
                <w:color w:val="000000"/>
                <w:sz w:val="20"/>
              </w:rPr>
              <w:t>2,614</w:t>
            </w:r>
          </w:p>
        </w:tc>
        <w:tc>
          <w:tcPr>
            <w:tcW w:w="1276" w:type="dxa"/>
          </w:tcPr>
          <w:p w14:paraId="45E4006D" w14:textId="77777777" w:rsidR="0012086B" w:rsidRPr="004C25E1" w:rsidRDefault="0012086B" w:rsidP="00AB5518">
            <w:pPr>
              <w:keepNext/>
              <w:jc w:val="center"/>
              <w:rPr>
                <w:rFonts w:ascii="Arial Narrow" w:eastAsia="Calibri" w:hAnsi="Arial Narrow" w:cs="Arial"/>
                <w:color w:val="000000"/>
                <w:sz w:val="20"/>
              </w:rPr>
            </w:pPr>
            <w:r w:rsidRPr="006B6B9E">
              <w:rPr>
                <w:rFonts w:ascii="Arial Narrow" w:eastAsia="Calibri" w:hAnsi="Arial Narrow" w:cs="Arial"/>
                <w:color w:val="000000"/>
                <w:sz w:val="20"/>
              </w:rPr>
              <w:t>0.12</w:t>
            </w:r>
          </w:p>
        </w:tc>
        <w:tc>
          <w:tcPr>
            <w:tcW w:w="1134" w:type="dxa"/>
          </w:tcPr>
          <w:p w14:paraId="56F11D4E" w14:textId="77777777" w:rsidR="0012086B" w:rsidRPr="004C25E1" w:rsidRDefault="0012086B" w:rsidP="00AB5518">
            <w:pPr>
              <w:keepNext/>
              <w:jc w:val="center"/>
              <w:rPr>
                <w:rFonts w:ascii="Arial Narrow" w:eastAsia="Calibri" w:hAnsi="Arial Narrow" w:cs="Arial"/>
                <w:color w:val="000000"/>
                <w:sz w:val="20"/>
              </w:rPr>
            </w:pPr>
            <w:r w:rsidRPr="004C25E1">
              <w:rPr>
                <w:rFonts w:ascii="Arial Narrow" w:eastAsia="Calibri" w:hAnsi="Arial Narrow" w:cs="Arial"/>
                <w:color w:val="000000"/>
                <w:sz w:val="20"/>
              </w:rPr>
              <w:t>$</w:t>
            </w:r>
            <w:r w:rsidRPr="006B6B9E">
              <w:rPr>
                <w:rFonts w:ascii="Arial Narrow" w:eastAsia="Calibri" w:hAnsi="Arial Narrow" w:cs="Arial"/>
                <w:color w:val="000000"/>
                <w:sz w:val="20"/>
              </w:rPr>
              <w:t>21,783</w:t>
            </w:r>
          </w:p>
        </w:tc>
      </w:tr>
      <w:tr w:rsidR="0012086B" w:rsidRPr="00D3430D" w14:paraId="1C8EAC57" w14:textId="77777777" w:rsidTr="00C93AD6">
        <w:tc>
          <w:tcPr>
            <w:tcW w:w="3964" w:type="dxa"/>
          </w:tcPr>
          <w:p w14:paraId="02AADA92" w14:textId="77777777" w:rsidR="0012086B" w:rsidRPr="00D3430D" w:rsidRDefault="0012086B" w:rsidP="00AB5518">
            <w:pPr>
              <w:keepNext/>
              <w:rPr>
                <w:rFonts w:ascii="Arial Narrow" w:eastAsia="Calibri" w:hAnsi="Arial Narrow" w:cs="Arial"/>
                <w:color w:val="000000"/>
                <w:sz w:val="20"/>
              </w:rPr>
            </w:pPr>
            <w:r w:rsidRPr="00D3430D">
              <w:rPr>
                <w:rFonts w:ascii="Arial Narrow" w:eastAsia="Calibri" w:hAnsi="Arial Narrow" w:cs="Arial"/>
                <w:color w:val="000000"/>
                <w:sz w:val="20"/>
              </w:rPr>
              <w:t>Affected individuals + proband’s female siblings</w:t>
            </w:r>
          </w:p>
        </w:tc>
        <w:tc>
          <w:tcPr>
            <w:tcW w:w="851" w:type="dxa"/>
          </w:tcPr>
          <w:p w14:paraId="6F8FD44D" w14:textId="77777777" w:rsidR="0012086B" w:rsidRPr="004C25E1" w:rsidRDefault="0012086B" w:rsidP="00AB5518">
            <w:pPr>
              <w:keepNext/>
              <w:jc w:val="center"/>
              <w:rPr>
                <w:rFonts w:ascii="Arial Narrow" w:eastAsia="Calibri" w:hAnsi="Arial Narrow" w:cs="Arial"/>
                <w:color w:val="000000"/>
                <w:sz w:val="20"/>
              </w:rPr>
            </w:pPr>
            <w:r w:rsidRPr="004C25E1">
              <w:rPr>
                <w:rFonts w:ascii="Arial Narrow" w:eastAsia="Calibri" w:hAnsi="Arial Narrow" w:cs="Arial"/>
                <w:color w:val="000000"/>
                <w:sz w:val="20"/>
              </w:rPr>
              <w:t>$</w:t>
            </w:r>
            <w:r w:rsidRPr="006B6B9E">
              <w:rPr>
                <w:rFonts w:ascii="Arial Narrow" w:eastAsia="Calibri" w:hAnsi="Arial Narrow" w:cs="Arial"/>
                <w:color w:val="000000"/>
                <w:sz w:val="20"/>
              </w:rPr>
              <w:t>7,230</w:t>
            </w:r>
          </w:p>
        </w:tc>
        <w:tc>
          <w:tcPr>
            <w:tcW w:w="709" w:type="dxa"/>
          </w:tcPr>
          <w:p w14:paraId="7BD06FD4" w14:textId="77777777" w:rsidR="0012086B" w:rsidRPr="004C25E1" w:rsidRDefault="0012086B" w:rsidP="00AB5518">
            <w:pPr>
              <w:keepNext/>
              <w:jc w:val="center"/>
              <w:rPr>
                <w:rFonts w:ascii="Arial Narrow" w:eastAsia="Calibri" w:hAnsi="Arial Narrow" w:cs="Arial"/>
                <w:color w:val="000000"/>
                <w:sz w:val="20"/>
              </w:rPr>
            </w:pPr>
            <w:r w:rsidRPr="006B6B9E">
              <w:rPr>
                <w:rFonts w:ascii="Arial Narrow" w:eastAsia="Calibri" w:hAnsi="Arial Narrow" w:cs="Arial"/>
                <w:color w:val="000000"/>
                <w:sz w:val="20"/>
              </w:rPr>
              <w:t>19.50</w:t>
            </w:r>
          </w:p>
        </w:tc>
        <w:tc>
          <w:tcPr>
            <w:tcW w:w="1275" w:type="dxa"/>
          </w:tcPr>
          <w:p w14:paraId="065F117A" w14:textId="77777777" w:rsidR="0012086B" w:rsidRPr="004C25E1" w:rsidRDefault="0012086B" w:rsidP="00AB5518">
            <w:pPr>
              <w:keepNext/>
              <w:jc w:val="center"/>
              <w:rPr>
                <w:rFonts w:ascii="Arial Narrow" w:eastAsia="Calibri" w:hAnsi="Arial Narrow" w:cs="Arial"/>
                <w:color w:val="000000"/>
                <w:sz w:val="20"/>
              </w:rPr>
            </w:pPr>
            <w:r w:rsidRPr="004C25E1">
              <w:rPr>
                <w:rFonts w:ascii="Arial Narrow" w:eastAsia="Calibri" w:hAnsi="Arial Narrow" w:cs="Arial"/>
                <w:color w:val="000000"/>
                <w:sz w:val="20"/>
              </w:rPr>
              <w:t>$</w:t>
            </w:r>
            <w:r w:rsidRPr="006B6B9E">
              <w:rPr>
                <w:rFonts w:ascii="Arial Narrow" w:eastAsia="Calibri" w:hAnsi="Arial Narrow" w:cs="Arial"/>
                <w:color w:val="000000"/>
                <w:sz w:val="20"/>
              </w:rPr>
              <w:t>3,150</w:t>
            </w:r>
          </w:p>
        </w:tc>
        <w:tc>
          <w:tcPr>
            <w:tcW w:w="1276" w:type="dxa"/>
          </w:tcPr>
          <w:p w14:paraId="082E39BC" w14:textId="77777777" w:rsidR="0012086B" w:rsidRPr="004C25E1" w:rsidRDefault="0012086B" w:rsidP="00AB5518">
            <w:pPr>
              <w:keepNext/>
              <w:jc w:val="center"/>
              <w:rPr>
                <w:rFonts w:ascii="Arial Narrow" w:eastAsia="Calibri" w:hAnsi="Arial Narrow" w:cs="Arial"/>
                <w:color w:val="000000"/>
                <w:sz w:val="20"/>
              </w:rPr>
            </w:pPr>
            <w:r w:rsidRPr="006B6B9E">
              <w:rPr>
                <w:rFonts w:ascii="Arial Narrow" w:eastAsia="Calibri" w:hAnsi="Arial Narrow" w:cs="Arial"/>
                <w:color w:val="000000"/>
                <w:sz w:val="20"/>
              </w:rPr>
              <w:t>0.17</w:t>
            </w:r>
          </w:p>
        </w:tc>
        <w:tc>
          <w:tcPr>
            <w:tcW w:w="1134" w:type="dxa"/>
          </w:tcPr>
          <w:p w14:paraId="70698E8D" w14:textId="77777777" w:rsidR="0012086B" w:rsidRPr="004C25E1" w:rsidRDefault="0012086B" w:rsidP="00AB5518">
            <w:pPr>
              <w:keepNext/>
              <w:jc w:val="center"/>
              <w:rPr>
                <w:rFonts w:ascii="Arial Narrow" w:eastAsia="Calibri" w:hAnsi="Arial Narrow" w:cs="Arial"/>
                <w:color w:val="000000"/>
                <w:sz w:val="20"/>
              </w:rPr>
            </w:pPr>
            <w:r w:rsidRPr="004C25E1">
              <w:rPr>
                <w:rFonts w:ascii="Arial Narrow" w:eastAsia="Calibri" w:hAnsi="Arial Narrow" w:cs="Arial"/>
                <w:color w:val="000000"/>
                <w:sz w:val="20"/>
              </w:rPr>
              <w:t>$</w:t>
            </w:r>
            <w:r w:rsidRPr="006B6B9E">
              <w:rPr>
                <w:rFonts w:ascii="Arial Narrow" w:eastAsia="Calibri" w:hAnsi="Arial Narrow" w:cs="Arial"/>
                <w:color w:val="000000"/>
                <w:sz w:val="20"/>
              </w:rPr>
              <w:t>18,241</w:t>
            </w:r>
          </w:p>
        </w:tc>
      </w:tr>
      <w:tr w:rsidR="0012086B" w:rsidRPr="00D3430D" w14:paraId="7DC4A3E1" w14:textId="77777777" w:rsidTr="00C93AD6">
        <w:tc>
          <w:tcPr>
            <w:tcW w:w="3964" w:type="dxa"/>
          </w:tcPr>
          <w:p w14:paraId="2876357D" w14:textId="0272D8DA" w:rsidR="0012086B" w:rsidRPr="00D3430D" w:rsidRDefault="0012086B" w:rsidP="00AB5518">
            <w:pPr>
              <w:keepNext/>
              <w:rPr>
                <w:rFonts w:ascii="Arial Narrow" w:eastAsia="Calibri" w:hAnsi="Arial Narrow" w:cs="Arial"/>
                <w:color w:val="000000"/>
                <w:sz w:val="20"/>
              </w:rPr>
            </w:pPr>
            <w:r w:rsidRPr="00D3430D">
              <w:rPr>
                <w:rFonts w:ascii="Arial Narrow" w:eastAsia="Calibri" w:hAnsi="Arial Narrow" w:cs="Arial"/>
                <w:color w:val="000000"/>
                <w:sz w:val="20"/>
              </w:rPr>
              <w:t>Affected individuals + proband’s female siblings</w:t>
            </w:r>
            <w:r w:rsidR="00C93AD6">
              <w:rPr>
                <w:rFonts w:ascii="Arial Narrow" w:eastAsia="Calibri" w:hAnsi="Arial Narrow" w:cs="Arial"/>
                <w:color w:val="000000"/>
                <w:sz w:val="20"/>
              </w:rPr>
              <w:t xml:space="preserve"> </w:t>
            </w:r>
            <w:r w:rsidRPr="00D3430D">
              <w:rPr>
                <w:rFonts w:ascii="Arial Narrow" w:eastAsia="Calibri" w:hAnsi="Arial Narrow" w:cs="Arial"/>
                <w:color w:val="000000"/>
                <w:sz w:val="20"/>
              </w:rPr>
              <w:t>+ proband’s female children</w:t>
            </w:r>
          </w:p>
        </w:tc>
        <w:tc>
          <w:tcPr>
            <w:tcW w:w="851" w:type="dxa"/>
          </w:tcPr>
          <w:p w14:paraId="59EEB282" w14:textId="77777777" w:rsidR="0012086B" w:rsidRPr="004C25E1" w:rsidRDefault="0012086B" w:rsidP="00AB5518">
            <w:pPr>
              <w:keepNext/>
              <w:jc w:val="center"/>
              <w:rPr>
                <w:rFonts w:ascii="Arial Narrow" w:eastAsia="Calibri" w:hAnsi="Arial Narrow" w:cs="Arial"/>
                <w:color w:val="000000"/>
                <w:sz w:val="20"/>
              </w:rPr>
            </w:pPr>
            <w:r w:rsidRPr="004C25E1">
              <w:rPr>
                <w:rFonts w:ascii="Arial Narrow" w:eastAsia="Calibri" w:hAnsi="Arial Narrow" w:cs="Arial"/>
                <w:color w:val="000000"/>
                <w:sz w:val="20"/>
              </w:rPr>
              <w:t>$</w:t>
            </w:r>
            <w:r w:rsidRPr="006B6B9E">
              <w:rPr>
                <w:rFonts w:ascii="Arial Narrow" w:eastAsia="Calibri" w:hAnsi="Arial Narrow" w:cs="Arial"/>
                <w:color w:val="000000"/>
                <w:sz w:val="20"/>
              </w:rPr>
              <w:t>7,788</w:t>
            </w:r>
          </w:p>
        </w:tc>
        <w:tc>
          <w:tcPr>
            <w:tcW w:w="709" w:type="dxa"/>
          </w:tcPr>
          <w:p w14:paraId="3543049C" w14:textId="77777777" w:rsidR="0012086B" w:rsidRPr="004C25E1" w:rsidRDefault="0012086B" w:rsidP="00AB5518">
            <w:pPr>
              <w:keepNext/>
              <w:jc w:val="center"/>
              <w:rPr>
                <w:rFonts w:ascii="Arial Narrow" w:eastAsia="Calibri" w:hAnsi="Arial Narrow" w:cs="Arial"/>
                <w:color w:val="000000"/>
                <w:sz w:val="20"/>
              </w:rPr>
            </w:pPr>
            <w:r w:rsidRPr="006B6B9E">
              <w:rPr>
                <w:rFonts w:ascii="Arial Narrow" w:eastAsia="Calibri" w:hAnsi="Arial Narrow" w:cs="Arial"/>
                <w:color w:val="000000"/>
                <w:sz w:val="20"/>
              </w:rPr>
              <w:t>22.45</w:t>
            </w:r>
          </w:p>
        </w:tc>
        <w:tc>
          <w:tcPr>
            <w:tcW w:w="1275" w:type="dxa"/>
          </w:tcPr>
          <w:p w14:paraId="6714B747" w14:textId="77777777" w:rsidR="0012086B" w:rsidRPr="004C25E1" w:rsidRDefault="0012086B" w:rsidP="00AB5518">
            <w:pPr>
              <w:keepNext/>
              <w:jc w:val="center"/>
              <w:rPr>
                <w:rFonts w:ascii="Arial Narrow" w:eastAsia="Calibri" w:hAnsi="Arial Narrow" w:cs="Arial"/>
                <w:color w:val="000000"/>
                <w:sz w:val="20"/>
              </w:rPr>
            </w:pPr>
            <w:r w:rsidRPr="004C25E1">
              <w:rPr>
                <w:rFonts w:ascii="Arial Narrow" w:eastAsia="Calibri" w:hAnsi="Arial Narrow" w:cs="Arial"/>
                <w:color w:val="000000"/>
                <w:sz w:val="20"/>
              </w:rPr>
              <w:t>$</w:t>
            </w:r>
            <w:r w:rsidRPr="006B6B9E">
              <w:rPr>
                <w:rFonts w:ascii="Arial Narrow" w:eastAsia="Calibri" w:hAnsi="Arial Narrow" w:cs="Arial"/>
                <w:color w:val="000000"/>
                <w:sz w:val="20"/>
              </w:rPr>
              <w:t>3,470</w:t>
            </w:r>
          </w:p>
        </w:tc>
        <w:tc>
          <w:tcPr>
            <w:tcW w:w="1276" w:type="dxa"/>
          </w:tcPr>
          <w:p w14:paraId="20C7FA22" w14:textId="77777777" w:rsidR="0012086B" w:rsidRPr="004C25E1" w:rsidRDefault="0012086B" w:rsidP="00AB5518">
            <w:pPr>
              <w:keepNext/>
              <w:jc w:val="center"/>
              <w:rPr>
                <w:rFonts w:ascii="Arial Narrow" w:eastAsia="Calibri" w:hAnsi="Arial Narrow" w:cs="Arial"/>
                <w:color w:val="000000"/>
                <w:sz w:val="20"/>
              </w:rPr>
            </w:pPr>
            <w:r w:rsidRPr="006B6B9E">
              <w:rPr>
                <w:rFonts w:ascii="Arial Narrow" w:eastAsia="Calibri" w:hAnsi="Arial Narrow" w:cs="Arial"/>
                <w:color w:val="000000"/>
                <w:sz w:val="20"/>
              </w:rPr>
              <w:t>0.19</w:t>
            </w:r>
          </w:p>
        </w:tc>
        <w:tc>
          <w:tcPr>
            <w:tcW w:w="1134" w:type="dxa"/>
          </w:tcPr>
          <w:p w14:paraId="32D3ADF0" w14:textId="77777777" w:rsidR="0012086B" w:rsidRPr="004C25E1" w:rsidRDefault="0012086B" w:rsidP="00AB5518">
            <w:pPr>
              <w:keepNext/>
              <w:jc w:val="center"/>
              <w:rPr>
                <w:rFonts w:ascii="Arial Narrow" w:eastAsia="Calibri" w:hAnsi="Arial Narrow" w:cs="Arial"/>
                <w:color w:val="000000"/>
                <w:sz w:val="20"/>
              </w:rPr>
            </w:pPr>
            <w:r w:rsidRPr="004C25E1">
              <w:rPr>
                <w:rFonts w:ascii="Arial Narrow" w:eastAsia="Calibri" w:hAnsi="Arial Narrow" w:cs="Arial"/>
                <w:color w:val="000000"/>
                <w:sz w:val="20"/>
              </w:rPr>
              <w:t>$</w:t>
            </w:r>
            <w:r w:rsidRPr="006B6B9E">
              <w:rPr>
                <w:rFonts w:ascii="Arial Narrow" w:eastAsia="Calibri" w:hAnsi="Arial Narrow" w:cs="Arial"/>
                <w:color w:val="000000"/>
                <w:sz w:val="20"/>
              </w:rPr>
              <w:t>18,283</w:t>
            </w:r>
          </w:p>
        </w:tc>
      </w:tr>
      <w:tr w:rsidR="0012086B" w:rsidRPr="00D3430D" w14:paraId="7CF20CDB" w14:textId="77777777" w:rsidTr="00C93AD6">
        <w:tc>
          <w:tcPr>
            <w:tcW w:w="3964" w:type="dxa"/>
          </w:tcPr>
          <w:p w14:paraId="7BCFEAD1" w14:textId="77777777" w:rsidR="0012086B" w:rsidRPr="00D3430D" w:rsidRDefault="0012086B" w:rsidP="00AB5518">
            <w:pPr>
              <w:keepNext/>
              <w:rPr>
                <w:rFonts w:ascii="Arial Narrow" w:eastAsia="Calibri" w:hAnsi="Arial Narrow" w:cs="Arial"/>
                <w:color w:val="000000"/>
                <w:sz w:val="20"/>
              </w:rPr>
            </w:pPr>
            <w:r w:rsidRPr="00D3430D">
              <w:rPr>
                <w:rFonts w:ascii="Arial Narrow" w:eastAsia="Calibri" w:hAnsi="Arial Narrow" w:cs="Arial"/>
                <w:color w:val="000000"/>
                <w:sz w:val="20"/>
              </w:rPr>
              <w:t xml:space="preserve">Affected individuals + proband’s siblings (male and female) </w:t>
            </w:r>
            <w:r w:rsidRPr="00D3430D">
              <w:rPr>
                <w:rFonts w:ascii="Arial Narrow" w:eastAsia="Calibri" w:hAnsi="Arial Narrow" w:cs="Arial"/>
                <w:color w:val="000000"/>
                <w:sz w:val="20"/>
                <w:vertAlign w:val="superscript"/>
              </w:rPr>
              <w:t>a</w:t>
            </w:r>
            <w:r w:rsidRPr="00D3430D">
              <w:rPr>
                <w:rFonts w:ascii="Arial Narrow" w:eastAsia="Calibri" w:hAnsi="Arial Narrow" w:cs="Arial"/>
                <w:color w:val="000000"/>
                <w:sz w:val="20"/>
              </w:rPr>
              <w:t xml:space="preserve"> + proband’s female children + female children of siblings who test positive</w:t>
            </w:r>
          </w:p>
        </w:tc>
        <w:tc>
          <w:tcPr>
            <w:tcW w:w="851" w:type="dxa"/>
          </w:tcPr>
          <w:p w14:paraId="72704C55" w14:textId="77777777" w:rsidR="0012086B" w:rsidRPr="004C25E1" w:rsidRDefault="0012086B" w:rsidP="00AB5518">
            <w:pPr>
              <w:keepNext/>
              <w:jc w:val="center"/>
              <w:rPr>
                <w:rFonts w:ascii="Arial Narrow" w:eastAsia="Calibri" w:hAnsi="Arial Narrow" w:cs="Arial"/>
                <w:color w:val="000000"/>
                <w:sz w:val="20"/>
              </w:rPr>
            </w:pPr>
            <w:r w:rsidRPr="004C25E1">
              <w:rPr>
                <w:rFonts w:ascii="Arial Narrow" w:eastAsia="Calibri" w:hAnsi="Arial Narrow" w:cs="Arial"/>
                <w:color w:val="000000"/>
                <w:sz w:val="20"/>
              </w:rPr>
              <w:t>$</w:t>
            </w:r>
            <w:r w:rsidRPr="006B6B9E">
              <w:rPr>
                <w:rFonts w:ascii="Arial Narrow" w:eastAsia="Calibri" w:hAnsi="Arial Narrow" w:cs="Arial"/>
                <w:color w:val="000000"/>
                <w:sz w:val="20"/>
              </w:rPr>
              <w:t>8,324</w:t>
            </w:r>
          </w:p>
        </w:tc>
        <w:tc>
          <w:tcPr>
            <w:tcW w:w="709" w:type="dxa"/>
          </w:tcPr>
          <w:p w14:paraId="592D552F" w14:textId="77777777" w:rsidR="0012086B" w:rsidRPr="004C25E1" w:rsidRDefault="0012086B" w:rsidP="00AB5518">
            <w:pPr>
              <w:keepNext/>
              <w:jc w:val="center"/>
              <w:rPr>
                <w:rFonts w:ascii="Arial Narrow" w:eastAsia="Calibri" w:hAnsi="Arial Narrow" w:cs="Arial"/>
                <w:color w:val="000000"/>
                <w:sz w:val="20"/>
              </w:rPr>
            </w:pPr>
            <w:r w:rsidRPr="006B6B9E">
              <w:rPr>
                <w:rFonts w:ascii="Arial Narrow" w:eastAsia="Calibri" w:hAnsi="Arial Narrow" w:cs="Arial"/>
                <w:color w:val="000000"/>
                <w:sz w:val="20"/>
              </w:rPr>
              <w:t>24.81</w:t>
            </w:r>
          </w:p>
        </w:tc>
        <w:tc>
          <w:tcPr>
            <w:tcW w:w="1275" w:type="dxa"/>
          </w:tcPr>
          <w:p w14:paraId="3B29D31A" w14:textId="77777777" w:rsidR="0012086B" w:rsidRPr="004C25E1" w:rsidRDefault="0012086B" w:rsidP="00AB5518">
            <w:pPr>
              <w:keepNext/>
              <w:jc w:val="center"/>
              <w:rPr>
                <w:rFonts w:ascii="Arial Narrow" w:eastAsia="Calibri" w:hAnsi="Arial Narrow" w:cs="Arial"/>
                <w:color w:val="000000"/>
                <w:sz w:val="20"/>
              </w:rPr>
            </w:pPr>
            <w:r w:rsidRPr="004C25E1">
              <w:rPr>
                <w:rFonts w:ascii="Arial Narrow" w:eastAsia="Calibri" w:hAnsi="Arial Narrow" w:cs="Arial"/>
                <w:color w:val="000000"/>
                <w:sz w:val="20"/>
              </w:rPr>
              <w:t>$</w:t>
            </w:r>
            <w:r w:rsidRPr="006B6B9E">
              <w:rPr>
                <w:rFonts w:ascii="Arial Narrow" w:eastAsia="Calibri" w:hAnsi="Arial Narrow" w:cs="Arial"/>
                <w:color w:val="000000"/>
                <w:sz w:val="20"/>
              </w:rPr>
              <w:t>3,815</w:t>
            </w:r>
          </w:p>
        </w:tc>
        <w:tc>
          <w:tcPr>
            <w:tcW w:w="1276" w:type="dxa"/>
          </w:tcPr>
          <w:p w14:paraId="4E945CEB" w14:textId="77777777" w:rsidR="0012086B" w:rsidRPr="004C25E1" w:rsidRDefault="0012086B" w:rsidP="00AB5518">
            <w:pPr>
              <w:keepNext/>
              <w:jc w:val="center"/>
              <w:rPr>
                <w:rFonts w:ascii="Arial Narrow" w:eastAsia="Calibri" w:hAnsi="Arial Narrow" w:cs="Arial"/>
                <w:color w:val="000000"/>
                <w:sz w:val="20"/>
              </w:rPr>
            </w:pPr>
            <w:r w:rsidRPr="006B6B9E">
              <w:rPr>
                <w:rFonts w:ascii="Arial Narrow" w:eastAsia="Calibri" w:hAnsi="Arial Narrow" w:cs="Arial"/>
                <w:color w:val="000000"/>
                <w:sz w:val="20"/>
              </w:rPr>
              <w:t>0.20</w:t>
            </w:r>
          </w:p>
        </w:tc>
        <w:tc>
          <w:tcPr>
            <w:tcW w:w="1134" w:type="dxa"/>
          </w:tcPr>
          <w:p w14:paraId="2CBD805C" w14:textId="77777777" w:rsidR="0012086B" w:rsidRPr="004C25E1" w:rsidRDefault="0012086B" w:rsidP="00AB5518">
            <w:pPr>
              <w:keepNext/>
              <w:jc w:val="center"/>
              <w:rPr>
                <w:rFonts w:ascii="Arial Narrow" w:eastAsia="Calibri" w:hAnsi="Arial Narrow" w:cs="Arial"/>
                <w:color w:val="000000"/>
                <w:sz w:val="20"/>
              </w:rPr>
            </w:pPr>
            <w:r w:rsidRPr="004C25E1">
              <w:rPr>
                <w:rFonts w:ascii="Arial Narrow" w:eastAsia="Calibri" w:hAnsi="Arial Narrow" w:cs="Arial"/>
                <w:color w:val="000000"/>
                <w:sz w:val="20"/>
              </w:rPr>
              <w:t>$</w:t>
            </w:r>
            <w:r w:rsidRPr="006B6B9E">
              <w:rPr>
                <w:rFonts w:ascii="Arial Narrow" w:eastAsia="Calibri" w:hAnsi="Arial Narrow" w:cs="Arial"/>
                <w:color w:val="000000"/>
                <w:sz w:val="20"/>
              </w:rPr>
              <w:t>18,752</w:t>
            </w:r>
          </w:p>
        </w:tc>
      </w:tr>
    </w:tbl>
    <w:p w14:paraId="6CE419AD" w14:textId="77777777" w:rsidR="0012086B" w:rsidRPr="00D3430D" w:rsidRDefault="0012086B" w:rsidP="0012086B">
      <w:pPr>
        <w:spacing w:after="240" w:line="259" w:lineRule="auto"/>
        <w:rPr>
          <w:rFonts w:ascii="Arial Narrow" w:eastAsia="Calibri" w:hAnsi="Arial Narrow" w:cs="Arial"/>
          <w:color w:val="000000"/>
          <w:sz w:val="20"/>
          <w:lang w:eastAsia="en-US"/>
        </w:rPr>
      </w:pPr>
      <w:r w:rsidRPr="00D3430D">
        <w:rPr>
          <w:rFonts w:ascii="Arial Narrow" w:eastAsia="Calibri" w:hAnsi="Arial Narrow" w:cs="Arial"/>
          <w:color w:val="000000"/>
          <w:sz w:val="20"/>
          <w:lang w:eastAsia="en-US"/>
        </w:rPr>
        <w:t xml:space="preserve">Source: Table 6-6.6, p12-13 of Application </w:t>
      </w:r>
      <w:hyperlink r:id="rId25" w:history="1">
        <w:r w:rsidRPr="00D3430D">
          <w:rPr>
            <w:rFonts w:ascii="Arial Narrow" w:eastAsia="Calibri" w:hAnsi="Arial Narrow" w:cs="Arial"/>
            <w:color w:val="0563C1"/>
            <w:sz w:val="20"/>
            <w:u w:val="single"/>
            <w:lang w:eastAsia="en-US"/>
          </w:rPr>
          <w:t>1411.1 Economic evaluation report</w:t>
        </w:r>
      </w:hyperlink>
      <w:r w:rsidRPr="00D3430D">
        <w:rPr>
          <w:rFonts w:ascii="Arial Narrow" w:eastAsia="Calibri" w:hAnsi="Arial Narrow" w:cs="Arial"/>
          <w:color w:val="000000"/>
          <w:sz w:val="20"/>
          <w:lang w:eastAsia="en-US"/>
        </w:rPr>
        <w:br/>
        <w:t>QALY = Quality-adjusted life-year; ICER = incremental cost-effectiveness ratio</w:t>
      </w:r>
      <w:r w:rsidRPr="00D3430D">
        <w:rPr>
          <w:rFonts w:ascii="Arial Narrow" w:eastAsia="Calibri" w:hAnsi="Arial Narrow" w:cs="Arial"/>
          <w:color w:val="000000"/>
          <w:sz w:val="20"/>
          <w:lang w:eastAsia="en-US"/>
        </w:rPr>
        <w:br/>
      </w:r>
      <w:r w:rsidRPr="00D3430D">
        <w:rPr>
          <w:rFonts w:ascii="Arial Narrow" w:eastAsia="Calibri" w:hAnsi="Arial Narrow" w:cs="Arial"/>
          <w:snapToGrid w:val="0"/>
          <w:color w:val="000000"/>
          <w:sz w:val="20"/>
          <w:vertAlign w:val="superscript"/>
          <w:lang w:val="en-GB" w:eastAsia="en-US"/>
        </w:rPr>
        <w:t xml:space="preserve">a </w:t>
      </w:r>
      <w:r w:rsidRPr="00D3430D">
        <w:rPr>
          <w:rFonts w:ascii="Arial Narrow" w:eastAsia="Calibri" w:hAnsi="Arial Narrow" w:cs="Arial"/>
          <w:snapToGrid w:val="0"/>
          <w:sz w:val="20"/>
          <w:lang w:val="en-GB" w:eastAsia="en-US"/>
        </w:rPr>
        <w:t>Proband’s</w:t>
      </w:r>
      <w:r w:rsidRPr="00D3430D">
        <w:rPr>
          <w:rFonts w:ascii="Arial Narrow" w:eastAsia="Calibri" w:hAnsi="Arial Narrow" w:cs="Arial"/>
          <w:snapToGrid w:val="0"/>
          <w:color w:val="000000"/>
          <w:sz w:val="20"/>
          <w:vertAlign w:val="superscript"/>
          <w:lang w:val="en-GB" w:eastAsia="en-US"/>
        </w:rPr>
        <w:t xml:space="preserve"> </w:t>
      </w:r>
      <w:r w:rsidRPr="00D3430D">
        <w:rPr>
          <w:rFonts w:ascii="Arial Narrow" w:eastAsia="Calibri" w:hAnsi="Arial Narrow" w:cs="Arial"/>
          <w:snapToGrid w:val="0"/>
          <w:sz w:val="20"/>
          <w:lang w:val="en-GB" w:eastAsia="en-US"/>
        </w:rPr>
        <w:t>male siblings will not be included in the model but the cost of testing them will be included to inform the need to test their children.</w:t>
      </w:r>
    </w:p>
    <w:p w14:paraId="05BA0640" w14:textId="77777777" w:rsidR="00BC1364" w:rsidRPr="00F715D1" w:rsidRDefault="00BC1364" w:rsidP="00F715D1">
      <w:pPr>
        <w:pStyle w:val="Heading1"/>
      </w:pPr>
      <w:r w:rsidRPr="00F715D1">
        <w:t>Prerequisites to implementation of any funding advice</w:t>
      </w:r>
    </w:p>
    <w:p w14:paraId="4C8E773A" w14:textId="77777777" w:rsidR="00474EEB" w:rsidRPr="00D3430D" w:rsidRDefault="00474EEB" w:rsidP="00474EEB">
      <w:pPr>
        <w:keepNext/>
        <w:keepLines/>
        <w:spacing w:before="200" w:after="120"/>
        <w:outlineLvl w:val="1"/>
        <w:rPr>
          <w:i/>
          <w:szCs w:val="26"/>
        </w:rPr>
      </w:pPr>
      <w:r>
        <w:rPr>
          <w:i/>
          <w:szCs w:val="26"/>
        </w:rPr>
        <w:t>Test</w:t>
      </w:r>
    </w:p>
    <w:p w14:paraId="1080CBD5" w14:textId="7093E189" w:rsidR="00474EEB" w:rsidRDefault="00474EEB" w:rsidP="00474EEB">
      <w:pPr>
        <w:rPr>
          <w:rFonts w:eastAsia="Calibri" w:cs="Arial"/>
          <w:iCs/>
          <w:szCs w:val="22"/>
          <w:lang w:eastAsia="en-US"/>
        </w:rPr>
      </w:pPr>
      <w:r w:rsidRPr="00D3430D">
        <w:rPr>
          <w:rFonts w:eastAsia="Calibri" w:cs="Arial"/>
          <w:iCs/>
          <w:szCs w:val="22"/>
          <w:lang w:eastAsia="en-US"/>
        </w:rPr>
        <w:t xml:space="preserve">The submission focused on tumour testing for </w:t>
      </w:r>
      <w:r w:rsidRPr="00D3430D">
        <w:rPr>
          <w:rFonts w:eastAsia="Calibri" w:cs="Arial"/>
          <w:i/>
          <w:iCs/>
          <w:szCs w:val="22"/>
          <w:lang w:eastAsia="en-US"/>
        </w:rPr>
        <w:t>BRCA1/2</w:t>
      </w:r>
      <w:r w:rsidRPr="00D3430D">
        <w:rPr>
          <w:rFonts w:eastAsia="Calibri" w:cs="Arial"/>
          <w:iCs/>
          <w:szCs w:val="22"/>
          <w:lang w:eastAsia="en-US"/>
        </w:rPr>
        <w:t xml:space="preserve"> pathogenic </w:t>
      </w:r>
      <w:r w:rsidR="00F97785">
        <w:t xml:space="preserve">gene </w:t>
      </w:r>
      <w:r w:rsidRPr="00D3430D">
        <w:rPr>
          <w:rFonts w:eastAsia="Calibri" w:cs="Arial"/>
          <w:iCs/>
          <w:szCs w:val="22"/>
          <w:lang w:eastAsia="en-US"/>
        </w:rPr>
        <w:t>variant using NGS-based methods, but did not specify which particular NGS-based diagnostic method was the proposed test.</w:t>
      </w:r>
    </w:p>
    <w:p w14:paraId="1A9EA32E" w14:textId="7842C309" w:rsidR="00474EEB" w:rsidRPr="00D3430D" w:rsidRDefault="00474EEB" w:rsidP="007C2DC0">
      <w:pPr>
        <w:spacing w:before="240"/>
        <w:rPr>
          <w:rFonts w:eastAsia="Calibri" w:cs="Arial"/>
          <w:iCs/>
          <w:szCs w:val="22"/>
          <w:lang w:eastAsia="en-US"/>
        </w:rPr>
      </w:pPr>
      <w:r w:rsidRPr="00D3430D">
        <w:rPr>
          <w:rFonts w:eastAsia="Calibri" w:cs="Arial"/>
          <w:iCs/>
          <w:szCs w:val="22"/>
          <w:lang w:eastAsia="en-US"/>
        </w:rPr>
        <w:t xml:space="preserve">The Commentary considered that the submission did not </w:t>
      </w:r>
      <w:r w:rsidRPr="007C6078">
        <w:t>provide</w:t>
      </w:r>
      <w:r w:rsidRPr="00D3430D">
        <w:rPr>
          <w:rFonts w:eastAsia="Calibri" w:cs="Arial"/>
          <w:iCs/>
          <w:szCs w:val="22"/>
          <w:lang w:eastAsia="en-US"/>
        </w:rPr>
        <w:t xml:space="preserve"> adequate information on the regulatory status of </w:t>
      </w:r>
      <w:r w:rsidRPr="00D3430D">
        <w:rPr>
          <w:rFonts w:eastAsia="Calibri" w:cs="Arial"/>
          <w:i/>
          <w:iCs/>
          <w:szCs w:val="22"/>
          <w:lang w:eastAsia="en-US"/>
        </w:rPr>
        <w:t>BRCA1/2</w:t>
      </w:r>
      <w:r w:rsidRPr="00D3430D">
        <w:rPr>
          <w:rFonts w:eastAsia="Calibri" w:cs="Arial"/>
          <w:iCs/>
          <w:szCs w:val="22"/>
          <w:lang w:eastAsia="en-US"/>
        </w:rPr>
        <w:t xml:space="preserve"> pathogenic </w:t>
      </w:r>
      <w:r w:rsidR="00F97785">
        <w:t xml:space="preserve">gene </w:t>
      </w:r>
      <w:r w:rsidRPr="00D3430D">
        <w:rPr>
          <w:rFonts w:eastAsia="Calibri" w:cs="Arial"/>
          <w:iCs/>
          <w:szCs w:val="22"/>
          <w:lang w:eastAsia="en-US"/>
        </w:rPr>
        <w:t>variant testing. The</w:t>
      </w:r>
      <w:r>
        <w:rPr>
          <w:rFonts w:eastAsia="Calibri" w:cs="Arial"/>
          <w:iCs/>
          <w:szCs w:val="22"/>
          <w:lang w:eastAsia="en-US"/>
        </w:rPr>
        <w:t xml:space="preserve"> submission also did not discuss</w:t>
      </w:r>
      <w:r w:rsidRPr="00D3430D">
        <w:rPr>
          <w:rFonts w:eastAsia="Calibri" w:cs="Arial"/>
          <w:iCs/>
          <w:szCs w:val="22"/>
          <w:lang w:eastAsia="en-US"/>
        </w:rPr>
        <w:t xml:space="preserve"> the regulatory status of the </w:t>
      </w:r>
      <w:r w:rsidRPr="00D3430D">
        <w:rPr>
          <w:rFonts w:eastAsia="Calibri" w:cs="Arial"/>
          <w:i/>
          <w:iCs/>
          <w:szCs w:val="22"/>
          <w:lang w:eastAsia="en-US"/>
        </w:rPr>
        <w:t>BRCA1/2</w:t>
      </w:r>
      <w:r w:rsidRPr="00D3430D">
        <w:rPr>
          <w:rFonts w:eastAsia="Calibri" w:cs="Arial"/>
          <w:iCs/>
          <w:szCs w:val="22"/>
          <w:lang w:eastAsia="en-US"/>
        </w:rPr>
        <w:t xml:space="preserve"> testing in prostate tumour tissue to determine eligibility for olaparib.</w:t>
      </w:r>
    </w:p>
    <w:p w14:paraId="3AD6EF52" w14:textId="1FC58966" w:rsidR="00474EEB" w:rsidRPr="00D3430D" w:rsidRDefault="00474EEB" w:rsidP="007C2DC0">
      <w:pPr>
        <w:spacing w:before="240"/>
        <w:rPr>
          <w:rFonts w:eastAsia="Calibri"/>
        </w:rPr>
      </w:pPr>
      <w:r w:rsidRPr="00D3430D">
        <w:rPr>
          <w:rFonts w:eastAsia="Calibri" w:cs="Arial"/>
          <w:szCs w:val="22"/>
          <w:lang w:eastAsia="en-US"/>
        </w:rPr>
        <w:t xml:space="preserve">Pathology laboratories must participate in an external quality </w:t>
      </w:r>
      <w:r w:rsidRPr="007C6078">
        <w:t>assurance</w:t>
      </w:r>
      <w:r w:rsidRPr="00D3430D">
        <w:rPr>
          <w:rFonts w:eastAsia="Calibri" w:cs="Arial"/>
          <w:szCs w:val="22"/>
          <w:lang w:eastAsia="en-US"/>
        </w:rPr>
        <w:t xml:space="preserve"> programme (QAP) to obtain National Association of Testing Authorities (NATA) accreditation to offer medical genetic testing services in Australia. The submission stated that the following laboratories have NGS capabilities and have NATA accreditation: Peter MacCallum Cancer Centre (</w:t>
      </w:r>
      <w:r w:rsidRPr="00D3430D">
        <w:rPr>
          <w:rFonts w:eastAsia="Calibri"/>
        </w:rPr>
        <w:t>PMCC</w:t>
      </w:r>
      <w:r w:rsidRPr="00D3430D">
        <w:rPr>
          <w:rFonts w:eastAsia="Calibri" w:cs="Arial"/>
          <w:szCs w:val="22"/>
          <w:lang w:eastAsia="en-US"/>
        </w:rPr>
        <w:t>) in Melbourne VIC, Pathology North in Newcastle NSW, Sonic Genetics in Sydney NSW, Genomic Diagnostics in Melbourne VIC, and Genomics for Life in Brisbane QLD.</w:t>
      </w:r>
      <w:r w:rsidR="009D5CBA">
        <w:rPr>
          <w:rFonts w:eastAsia="Calibri" w:cs="Arial"/>
          <w:szCs w:val="22"/>
          <w:lang w:eastAsia="en-US"/>
        </w:rPr>
        <w:t xml:space="preserve"> </w:t>
      </w:r>
      <w:r w:rsidRPr="00D3430D">
        <w:rPr>
          <w:rFonts w:eastAsia="Calibri"/>
        </w:rPr>
        <w:t xml:space="preserve">The submission stated the PMCC has completed validation </w:t>
      </w:r>
      <w:r w:rsidRPr="007C6078">
        <w:t>and</w:t>
      </w:r>
      <w:r w:rsidRPr="00D3430D">
        <w:rPr>
          <w:rFonts w:eastAsia="Calibri"/>
        </w:rPr>
        <w:t xml:space="preserve"> TGA notification of its NGS testing for both </w:t>
      </w:r>
      <w:r w:rsidRPr="00D3430D">
        <w:rPr>
          <w:rFonts w:eastAsia="Calibri"/>
          <w:i/>
        </w:rPr>
        <w:t>BRCA1/2</w:t>
      </w:r>
      <w:r w:rsidRPr="00D3430D">
        <w:rPr>
          <w:rFonts w:eastAsia="Calibri"/>
        </w:rPr>
        <w:t xml:space="preserve"> and other pathogenic </w:t>
      </w:r>
      <w:r w:rsidR="00F97785">
        <w:t xml:space="preserve">gene </w:t>
      </w:r>
      <w:r w:rsidRPr="00D3430D">
        <w:rPr>
          <w:rFonts w:eastAsia="Calibri"/>
        </w:rPr>
        <w:t>variants in prostate cancer, but no TGA documentation was provided during the evaluation.</w:t>
      </w:r>
    </w:p>
    <w:p w14:paraId="60EC8D50" w14:textId="14AB5B2A" w:rsidR="00474EEB" w:rsidRPr="00D3430D" w:rsidRDefault="00474EEB" w:rsidP="007C2DC0">
      <w:pPr>
        <w:spacing w:before="240"/>
        <w:rPr>
          <w:rFonts w:eastAsia="Calibri"/>
          <w:lang w:eastAsia="en-US"/>
        </w:rPr>
      </w:pPr>
      <w:r w:rsidRPr="00D3430D">
        <w:rPr>
          <w:rFonts w:eastAsia="Calibri"/>
          <w:lang w:eastAsia="en-US"/>
        </w:rPr>
        <w:t>The</w:t>
      </w:r>
      <w:r>
        <w:rPr>
          <w:rFonts w:eastAsia="Calibri"/>
          <w:lang w:eastAsia="en-US"/>
        </w:rPr>
        <w:t xml:space="preserve"> submission provided</w:t>
      </w:r>
      <w:r w:rsidRPr="00D3430D">
        <w:rPr>
          <w:rFonts w:eastAsia="Calibri"/>
          <w:lang w:eastAsia="en-US"/>
        </w:rPr>
        <w:t xml:space="preserve"> no information regarding </w:t>
      </w:r>
      <w:r w:rsidRPr="007C6078">
        <w:t>which</w:t>
      </w:r>
      <w:r w:rsidRPr="00D3430D">
        <w:rPr>
          <w:rFonts w:eastAsia="Calibri"/>
          <w:lang w:eastAsia="en-US"/>
        </w:rPr>
        <w:t xml:space="preserve"> of these laboratories would be testing in prostate cancer, and instead it was just stated that some would perform testing in prostate cancer.</w:t>
      </w:r>
    </w:p>
    <w:p w14:paraId="1764B935" w14:textId="79A7F0A8" w:rsidR="00474EEB" w:rsidRPr="00D3430D" w:rsidRDefault="00474EEB" w:rsidP="007C2DC0">
      <w:pPr>
        <w:spacing w:before="240"/>
        <w:rPr>
          <w:rFonts w:eastAsia="Calibri" w:cs="Arial"/>
          <w:iCs/>
          <w:szCs w:val="22"/>
          <w:lang w:eastAsia="en-US"/>
        </w:rPr>
      </w:pPr>
      <w:r w:rsidRPr="00D3430D">
        <w:rPr>
          <w:rFonts w:eastAsia="Calibri" w:cs="Arial"/>
          <w:szCs w:val="22"/>
          <w:lang w:eastAsia="en-US"/>
        </w:rPr>
        <w:t xml:space="preserve">The submission reiterated that </w:t>
      </w:r>
      <w:r w:rsidRPr="00D3430D">
        <w:rPr>
          <w:rFonts w:eastAsia="Calibri" w:cs="Arial"/>
          <w:i/>
          <w:szCs w:val="22"/>
          <w:lang w:eastAsia="en-US"/>
        </w:rPr>
        <w:t>BRCA1/2</w:t>
      </w:r>
      <w:r w:rsidRPr="00D3430D">
        <w:rPr>
          <w:rFonts w:eastAsia="Calibri" w:cs="Arial"/>
          <w:szCs w:val="22"/>
          <w:lang w:eastAsia="en-US"/>
        </w:rPr>
        <w:t xml:space="preserve"> testing is not expected to be a barrier to treatment and will be conducted in a timely and appropriate manner</w:t>
      </w:r>
      <w:r w:rsidRPr="00D3430D">
        <w:rPr>
          <w:rFonts w:eastAsia="Calibri" w:cs="Arial"/>
          <w:i/>
          <w:iCs/>
          <w:szCs w:val="22"/>
          <w:lang w:eastAsia="en-US"/>
        </w:rPr>
        <w:t xml:space="preserve">. </w:t>
      </w:r>
      <w:r w:rsidRPr="00D3430D">
        <w:rPr>
          <w:rFonts w:eastAsia="Calibri" w:cs="Arial"/>
          <w:iCs/>
          <w:szCs w:val="22"/>
          <w:lang w:eastAsia="en-US"/>
        </w:rPr>
        <w:t>The submission did not discuss issues associated with access to genetic counselling and testing in Australia, nor provide any discussion on how the time gap between the test and availability of results (at least 4-6 weeks) w</w:t>
      </w:r>
      <w:r w:rsidR="009D5CBA">
        <w:rPr>
          <w:rFonts w:eastAsia="Calibri" w:cs="Arial"/>
          <w:iCs/>
          <w:szCs w:val="22"/>
          <w:lang w:eastAsia="en-US"/>
        </w:rPr>
        <w:t>ould</w:t>
      </w:r>
      <w:r w:rsidRPr="00D3430D">
        <w:rPr>
          <w:rFonts w:eastAsia="Calibri" w:cs="Arial"/>
          <w:iCs/>
          <w:szCs w:val="22"/>
          <w:lang w:eastAsia="en-US"/>
        </w:rPr>
        <w:t xml:space="preserve"> be managed regarding ongoing treatment.</w:t>
      </w:r>
    </w:p>
    <w:p w14:paraId="473703BD" w14:textId="43FD98AF" w:rsidR="00474EEB" w:rsidRPr="00D3430D" w:rsidRDefault="00474EEB" w:rsidP="007C2DC0">
      <w:pPr>
        <w:spacing w:before="240"/>
        <w:rPr>
          <w:rFonts w:eastAsia="Calibri" w:cs="Arial"/>
          <w:i/>
          <w:iCs/>
          <w:szCs w:val="22"/>
          <w:lang w:eastAsia="en-US"/>
        </w:rPr>
      </w:pPr>
      <w:r w:rsidRPr="00D3430D">
        <w:rPr>
          <w:lang w:val="en-US"/>
        </w:rPr>
        <w:t xml:space="preserve">The National Pathology Accreditation Advisory Council advised </w:t>
      </w:r>
      <w:r w:rsidRPr="007C6078">
        <w:t>that</w:t>
      </w:r>
      <w:r w:rsidRPr="00D3430D">
        <w:rPr>
          <w:lang w:val="en-US"/>
        </w:rPr>
        <w:t xml:space="preserve"> testing</w:t>
      </w:r>
      <w:r>
        <w:rPr>
          <w:lang w:val="en-US"/>
        </w:rPr>
        <w:t xml:space="preserve"> </w:t>
      </w:r>
      <w:r w:rsidRPr="00D3430D">
        <w:rPr>
          <w:lang w:val="en-US"/>
        </w:rPr>
        <w:t xml:space="preserve">for </w:t>
      </w:r>
      <w:r w:rsidRPr="00D3430D">
        <w:rPr>
          <w:i/>
          <w:lang w:val="en-US"/>
        </w:rPr>
        <w:t>BRCA1/2</w:t>
      </w:r>
      <w:r>
        <w:rPr>
          <w:lang w:val="en-US"/>
        </w:rPr>
        <w:t xml:space="preserve"> is already established in a number of laboratories in Australia. </w:t>
      </w:r>
      <w:r w:rsidRPr="00D3430D">
        <w:rPr>
          <w:lang w:val="en-US"/>
        </w:rPr>
        <w:t xml:space="preserve">An External Quality Assurance Program is available through Royal College of Pathologists of Australasia Quality Assurance Programs P/L. The addition of </w:t>
      </w:r>
      <w:r w:rsidRPr="00D3430D">
        <w:rPr>
          <w:i/>
          <w:lang w:val="en-US"/>
        </w:rPr>
        <w:t>ATM</w:t>
      </w:r>
      <w:r w:rsidRPr="00D3430D">
        <w:rPr>
          <w:lang w:val="en-US"/>
        </w:rPr>
        <w:t xml:space="preserve"> testing</w:t>
      </w:r>
      <w:r w:rsidR="009D5CBA">
        <w:rPr>
          <w:lang w:val="en-US"/>
        </w:rPr>
        <w:t xml:space="preserve"> (as originally proposed)</w:t>
      </w:r>
      <w:r w:rsidRPr="00D3430D">
        <w:rPr>
          <w:lang w:val="en-US"/>
        </w:rPr>
        <w:t xml:space="preserve"> </w:t>
      </w:r>
      <w:r>
        <w:rPr>
          <w:lang w:val="en-US"/>
        </w:rPr>
        <w:t>was</w:t>
      </w:r>
      <w:r w:rsidRPr="00D3430D">
        <w:rPr>
          <w:lang w:val="en-US"/>
        </w:rPr>
        <w:t xml:space="preserve"> not </w:t>
      </w:r>
      <w:r>
        <w:rPr>
          <w:lang w:val="en-US"/>
        </w:rPr>
        <w:t xml:space="preserve">considered to be </w:t>
      </w:r>
      <w:r w:rsidRPr="00D3430D">
        <w:rPr>
          <w:lang w:val="en-US"/>
        </w:rPr>
        <w:t>complex</w:t>
      </w:r>
      <w:r>
        <w:t>.</w:t>
      </w:r>
    </w:p>
    <w:p w14:paraId="24974526" w14:textId="67DB657D" w:rsidR="00474EEB" w:rsidRPr="00D3430D" w:rsidRDefault="00980FC1" w:rsidP="00474EEB">
      <w:pPr>
        <w:keepNext/>
        <w:keepLines/>
        <w:spacing w:before="200" w:after="120"/>
        <w:outlineLvl w:val="1"/>
        <w:rPr>
          <w:i/>
          <w:szCs w:val="26"/>
        </w:rPr>
      </w:pPr>
      <w:r>
        <w:rPr>
          <w:i/>
          <w:szCs w:val="26"/>
        </w:rPr>
        <w:lastRenderedPageBreak/>
        <w:t>Medicine</w:t>
      </w:r>
    </w:p>
    <w:p w14:paraId="5A449453" w14:textId="5F6C74AC" w:rsidR="00474EEB" w:rsidRPr="00D3430D" w:rsidRDefault="00474EEB" w:rsidP="00474EEB">
      <w:r w:rsidRPr="00D3430D">
        <w:t xml:space="preserve">An application to the TGA to extend the registration of olaparib to include patients with </w:t>
      </w:r>
      <w:proofErr w:type="spellStart"/>
      <w:r w:rsidRPr="00D3430D">
        <w:t>mCRPC</w:t>
      </w:r>
      <w:proofErr w:type="spellEnd"/>
      <w:r w:rsidRPr="00D3430D">
        <w:t xml:space="preserve"> and a detected pathogenic gene variant was made on 29 February 2020. The requested indication was:</w:t>
      </w:r>
    </w:p>
    <w:p w14:paraId="13FB25F9" w14:textId="77777777" w:rsidR="00474EEB" w:rsidRPr="00D3430D" w:rsidRDefault="00474EEB" w:rsidP="00474EEB">
      <w:pPr>
        <w:ind w:left="720"/>
        <w:rPr>
          <w:i/>
        </w:rPr>
      </w:pPr>
      <w:r w:rsidRPr="00D3430D">
        <w:rPr>
          <w:i/>
        </w:rPr>
        <w:t>Treatment of adult patients with metastatic castration-resistant prostate cancer and homologous recombination repair (HRR) gene mutation [variants] (germline and/or somatic) who have progressed following a prior new [novel] hormonal agent. HRR gene mutation [variant] status should be determined by an experienced laboratory using a validated test method.</w:t>
      </w:r>
    </w:p>
    <w:p w14:paraId="1DCD6C51" w14:textId="7F353AE9" w:rsidR="00474EEB" w:rsidRPr="00D3430D" w:rsidRDefault="00474EEB" w:rsidP="007C2DC0">
      <w:pPr>
        <w:spacing w:before="240"/>
      </w:pPr>
      <w:r>
        <w:t xml:space="preserve">Based on the same </w:t>
      </w:r>
      <w:proofErr w:type="spellStart"/>
      <w:r>
        <w:t>PROfound</w:t>
      </w:r>
      <w:proofErr w:type="spellEnd"/>
      <w:r>
        <w:t xml:space="preserve"> trial, regulators in other countries approved olaparib for different biomarker-defined populations. T</w:t>
      </w:r>
      <w:r w:rsidRPr="00D3430D">
        <w:t xml:space="preserve">he FDA </w:t>
      </w:r>
      <w:r>
        <w:t xml:space="preserve">approved olaparib </w:t>
      </w:r>
      <w:r w:rsidRPr="00D3430D">
        <w:t xml:space="preserve">on 19 May 2020 for treatment of adult patients with germline or somatic HRR gene-mutated </w:t>
      </w:r>
      <w:proofErr w:type="spellStart"/>
      <w:r w:rsidRPr="00D3430D">
        <w:t>mCRPC</w:t>
      </w:r>
      <w:proofErr w:type="spellEnd"/>
      <w:r w:rsidRPr="00D3430D">
        <w:t xml:space="preserve"> who have progressed following prior treatment with enzalutamide or abiraterone. In Canada, olaparib was approved in August 2020 for treatment of adults with deleterious or suspected deleterious germline and or somatic </w:t>
      </w:r>
      <w:r w:rsidRPr="00D3430D">
        <w:rPr>
          <w:i/>
          <w:iCs/>
        </w:rPr>
        <w:t>BRCA</w:t>
      </w:r>
      <w:r w:rsidRPr="00D3430D">
        <w:t xml:space="preserve"> or </w:t>
      </w:r>
      <w:r w:rsidRPr="00D3430D">
        <w:rPr>
          <w:i/>
          <w:iCs/>
        </w:rPr>
        <w:t>ATM</w:t>
      </w:r>
      <w:r w:rsidRPr="00D3430D">
        <w:t xml:space="preserve"> mutated </w:t>
      </w:r>
      <w:proofErr w:type="spellStart"/>
      <w:r w:rsidRPr="00D3430D">
        <w:t>mCRPC</w:t>
      </w:r>
      <w:proofErr w:type="spellEnd"/>
      <w:r w:rsidRPr="00D3430D">
        <w:t xml:space="preserve"> who have progressed following prior treatment with a non-hormonal agent.</w:t>
      </w:r>
      <w:r>
        <w:t xml:space="preserve"> </w:t>
      </w:r>
      <w:r w:rsidRPr="00D3430D">
        <w:t xml:space="preserve">The European Medicines Agency (EMA) granted marketing authorisation in November 2020 for the use of olaparib for treatment of adult patients with </w:t>
      </w:r>
      <w:proofErr w:type="spellStart"/>
      <w:r w:rsidRPr="00D3430D">
        <w:t>mCRPC</w:t>
      </w:r>
      <w:proofErr w:type="spellEnd"/>
      <w:r w:rsidRPr="00D3430D">
        <w:t xml:space="preserve"> and </w:t>
      </w:r>
      <w:r w:rsidRPr="00D3430D">
        <w:rPr>
          <w:i/>
          <w:iCs/>
        </w:rPr>
        <w:t>BRCA1/2</w:t>
      </w:r>
      <w:r w:rsidRPr="00D3430D">
        <w:t xml:space="preserve"> pathogenic </w:t>
      </w:r>
      <w:r w:rsidR="00F97785">
        <w:t xml:space="preserve">gene </w:t>
      </w:r>
      <w:r w:rsidRPr="00D3430D">
        <w:t>variants (germline or somatic) who have progressed following prior therapy that includes a new hormonal agent.</w:t>
      </w:r>
    </w:p>
    <w:p w14:paraId="4AB92325" w14:textId="3985D052" w:rsidR="00BC1364" w:rsidRPr="00474EEB" w:rsidRDefault="00474EEB" w:rsidP="007C2DC0">
      <w:pPr>
        <w:spacing w:before="240"/>
      </w:pPr>
      <w:r w:rsidRPr="00D3430D">
        <w:rPr>
          <w:iCs/>
        </w:rPr>
        <w:t xml:space="preserve">The TGA Delegate’s overview (dated 4 January 2021) was received during the evaluation, and the Delegate’s recommendation was to approve the registration of olaparib, with a limitation of the indication to patients with </w:t>
      </w:r>
      <w:r w:rsidRPr="00D3430D">
        <w:rPr>
          <w:i/>
          <w:iCs/>
        </w:rPr>
        <w:t>BRCA1</w:t>
      </w:r>
      <w:r w:rsidRPr="00D3430D">
        <w:rPr>
          <w:iCs/>
        </w:rPr>
        <w:t xml:space="preserve"> or </w:t>
      </w:r>
      <w:r w:rsidRPr="00D3430D">
        <w:rPr>
          <w:i/>
          <w:iCs/>
        </w:rPr>
        <w:t>BRCA2</w:t>
      </w:r>
      <w:r w:rsidRPr="00D3430D">
        <w:rPr>
          <w:iCs/>
        </w:rPr>
        <w:t xml:space="preserve"> pathogenic </w:t>
      </w:r>
      <w:r w:rsidR="00F97785">
        <w:t xml:space="preserve">gene </w:t>
      </w:r>
      <w:r w:rsidRPr="00D3430D">
        <w:rPr>
          <w:iCs/>
        </w:rPr>
        <w:t xml:space="preserve">variants. The TGA Delegate explained that exploratory analyses of PFS and OS in the </w:t>
      </w:r>
      <w:r w:rsidRPr="00D3430D">
        <w:rPr>
          <w:i/>
          <w:iCs/>
        </w:rPr>
        <w:t>ATM</w:t>
      </w:r>
      <w:r w:rsidRPr="00D3430D">
        <w:rPr>
          <w:iCs/>
        </w:rPr>
        <w:t xml:space="preserve"> and </w:t>
      </w:r>
      <w:r w:rsidRPr="009D5CBA">
        <w:rPr>
          <w:i/>
          <w:iCs/>
        </w:rPr>
        <w:t>CDK12</w:t>
      </w:r>
      <w:r w:rsidRPr="00D3430D">
        <w:rPr>
          <w:iCs/>
        </w:rPr>
        <w:t xml:space="preserve"> subgroups within </w:t>
      </w:r>
      <w:proofErr w:type="spellStart"/>
      <w:r w:rsidRPr="00D3430D">
        <w:rPr>
          <w:iCs/>
        </w:rPr>
        <w:t>PROfound</w:t>
      </w:r>
      <w:proofErr w:type="spellEnd"/>
      <w:r w:rsidRPr="00D3430D">
        <w:rPr>
          <w:iCs/>
        </w:rPr>
        <w:t xml:space="preserve"> do not support a conclusion of meaningful efficacy in these groups, over the comparator. The TGA Delegate concluded that the presence of a non-</w:t>
      </w:r>
      <w:r w:rsidRPr="009D5CBA">
        <w:rPr>
          <w:i/>
          <w:iCs/>
        </w:rPr>
        <w:t>BRCA</w:t>
      </w:r>
      <w:r w:rsidRPr="00D3430D">
        <w:rPr>
          <w:iCs/>
        </w:rPr>
        <w:t xml:space="preserve"> HRR pathogenic </w:t>
      </w:r>
      <w:r w:rsidR="00F97785">
        <w:t xml:space="preserve">gene </w:t>
      </w:r>
      <w:r w:rsidRPr="00D3430D">
        <w:rPr>
          <w:iCs/>
        </w:rPr>
        <w:t>variant is not considered a biomarker that sufficiently predicts for response on a population level to justify exposing this population to the additional toxicity that is conferred by treatment with olaparib compared to a</w:t>
      </w:r>
      <w:r w:rsidR="0020302E">
        <w:rPr>
          <w:iCs/>
        </w:rPr>
        <w:t xml:space="preserve"> “</w:t>
      </w:r>
      <w:r w:rsidR="0020302E" w:rsidRPr="006B0FEE">
        <w:rPr>
          <w:rFonts w:eastAsia="Calibri" w:cs="Arial"/>
          <w:szCs w:val="22"/>
          <w:lang w:eastAsia="en-US"/>
        </w:rPr>
        <w:t>novel hormonal agent</w:t>
      </w:r>
      <w:r w:rsidR="0020302E">
        <w:rPr>
          <w:rFonts w:eastAsia="Calibri" w:cs="Arial"/>
          <w:szCs w:val="22"/>
          <w:lang w:eastAsia="en-US"/>
        </w:rPr>
        <w:t xml:space="preserve">” </w:t>
      </w:r>
      <w:r w:rsidR="0020302E" w:rsidRPr="006B0FEE">
        <w:rPr>
          <w:rFonts w:eastAsia="Calibri" w:cs="Arial"/>
          <w:szCs w:val="22"/>
          <w:lang w:eastAsia="en-US"/>
        </w:rPr>
        <w:t>(</w:t>
      </w:r>
      <w:r w:rsidRPr="00D3430D">
        <w:rPr>
          <w:iCs/>
        </w:rPr>
        <w:t>NHA</w:t>
      </w:r>
      <w:r w:rsidR="0020302E">
        <w:rPr>
          <w:iCs/>
        </w:rPr>
        <w:t>;</w:t>
      </w:r>
      <w:r w:rsidRPr="00D3430D">
        <w:rPr>
          <w:iCs/>
        </w:rPr>
        <w:t xml:space="preserve"> abiraterone</w:t>
      </w:r>
      <w:r w:rsidR="0020302E">
        <w:rPr>
          <w:iCs/>
        </w:rPr>
        <w:t xml:space="preserve"> or </w:t>
      </w:r>
      <w:r w:rsidRPr="00D3430D">
        <w:rPr>
          <w:iCs/>
        </w:rPr>
        <w:t xml:space="preserve">enzalutamide). Efficacy in the </w:t>
      </w:r>
      <w:r w:rsidRPr="00D3430D">
        <w:rPr>
          <w:i/>
          <w:iCs/>
        </w:rPr>
        <w:t>BRCA1/2</w:t>
      </w:r>
      <w:r w:rsidRPr="00D3430D">
        <w:rPr>
          <w:iCs/>
        </w:rPr>
        <w:t xml:space="preserve"> group was mainly driven by results in patients with </w:t>
      </w:r>
      <w:r w:rsidRPr="00D3430D">
        <w:rPr>
          <w:i/>
          <w:iCs/>
        </w:rPr>
        <w:t>BRCA2</w:t>
      </w:r>
      <w:r w:rsidRPr="00D3430D">
        <w:rPr>
          <w:iCs/>
        </w:rPr>
        <w:t xml:space="preserve">; however, the delegate felt grouping of </w:t>
      </w:r>
      <w:r w:rsidRPr="00D3430D">
        <w:rPr>
          <w:i/>
          <w:iCs/>
        </w:rPr>
        <w:t>BRCA1</w:t>
      </w:r>
      <w:r w:rsidRPr="00D3430D">
        <w:rPr>
          <w:iCs/>
        </w:rPr>
        <w:t xml:space="preserve"> and </w:t>
      </w:r>
      <w:r w:rsidRPr="00D3430D">
        <w:rPr>
          <w:i/>
          <w:iCs/>
        </w:rPr>
        <w:t xml:space="preserve">BRCA2 </w:t>
      </w:r>
      <w:r w:rsidRPr="00D3430D">
        <w:rPr>
          <w:iCs/>
        </w:rPr>
        <w:t xml:space="preserve">was reasonable given the breadth and strength of pre-clinical and clinical evidence of sensitivity of PARP inhibitors in </w:t>
      </w:r>
      <w:r w:rsidRPr="00D3430D">
        <w:rPr>
          <w:i/>
          <w:iCs/>
        </w:rPr>
        <w:t>BRCA1</w:t>
      </w:r>
      <w:r w:rsidRPr="00D3430D">
        <w:rPr>
          <w:iCs/>
        </w:rPr>
        <w:t xml:space="preserve"> and </w:t>
      </w:r>
      <w:r w:rsidRPr="00D3430D">
        <w:rPr>
          <w:i/>
          <w:iCs/>
        </w:rPr>
        <w:t xml:space="preserve">BRCA2 </w:t>
      </w:r>
      <w:r w:rsidRPr="00D3430D">
        <w:rPr>
          <w:iCs/>
        </w:rPr>
        <w:t>pathogenic</w:t>
      </w:r>
      <w:r w:rsidR="00F97785" w:rsidRPr="00F97785">
        <w:t xml:space="preserve"> </w:t>
      </w:r>
      <w:r w:rsidR="00F97785">
        <w:t>gene</w:t>
      </w:r>
      <w:r w:rsidRPr="00D3430D">
        <w:rPr>
          <w:iCs/>
        </w:rPr>
        <w:t xml:space="preserve"> variants. It was noted, that like other rarer </w:t>
      </w:r>
      <w:r w:rsidR="00925766">
        <w:rPr>
          <w:iCs/>
        </w:rPr>
        <w:t>genetic variants</w:t>
      </w:r>
      <w:r w:rsidRPr="00D3430D">
        <w:rPr>
          <w:iCs/>
        </w:rPr>
        <w:t xml:space="preserve">, the relative low rate of </w:t>
      </w:r>
      <w:r w:rsidRPr="00D3430D">
        <w:rPr>
          <w:i/>
          <w:iCs/>
        </w:rPr>
        <w:t>BRCA1</w:t>
      </w:r>
      <w:r w:rsidRPr="00D3430D">
        <w:rPr>
          <w:iCs/>
        </w:rPr>
        <w:t xml:space="preserve"> pathogenic </w:t>
      </w:r>
      <w:r w:rsidR="00F97785">
        <w:t xml:space="preserve">gene </w:t>
      </w:r>
      <w:r w:rsidRPr="00D3430D">
        <w:rPr>
          <w:iCs/>
        </w:rPr>
        <w:t xml:space="preserve">variants in prostate cancer makes it difficult to assess responses in </w:t>
      </w:r>
      <w:r w:rsidRPr="00D3430D">
        <w:rPr>
          <w:i/>
          <w:iCs/>
        </w:rPr>
        <w:t>BRCA1</w:t>
      </w:r>
      <w:r w:rsidRPr="00D3430D">
        <w:rPr>
          <w:iCs/>
        </w:rPr>
        <w:t xml:space="preserve"> population independent of </w:t>
      </w:r>
      <w:r w:rsidRPr="009A5647">
        <w:rPr>
          <w:i/>
          <w:iCs/>
        </w:rPr>
        <w:t>BRCA2</w:t>
      </w:r>
      <w:r w:rsidRPr="00D3430D">
        <w:rPr>
          <w:iCs/>
        </w:rPr>
        <w:t>.</w:t>
      </w:r>
    </w:p>
    <w:p w14:paraId="3B86134A" w14:textId="77777777" w:rsidR="00BC1364" w:rsidRPr="00F715D1" w:rsidRDefault="00BC1364" w:rsidP="00F715D1">
      <w:pPr>
        <w:pStyle w:val="Heading1"/>
      </w:pPr>
      <w:r w:rsidRPr="00F715D1">
        <w:lastRenderedPageBreak/>
        <w:t>Proposal for public funding</w:t>
      </w:r>
    </w:p>
    <w:p w14:paraId="219ED759" w14:textId="41B20F70" w:rsidR="00474EEB" w:rsidRPr="00474EEB" w:rsidRDefault="00474EEB" w:rsidP="00474EEB">
      <w:pPr>
        <w:keepNext/>
        <w:keepLines/>
        <w:spacing w:after="40"/>
        <w:jc w:val="both"/>
        <w:outlineLvl w:val="4"/>
        <w:rPr>
          <w:rFonts w:ascii="Arial Narrow" w:hAnsi="Arial Narrow" w:cs="Arial"/>
          <w:b/>
          <w:bCs/>
          <w:iCs/>
          <w:sz w:val="20"/>
          <w:lang w:eastAsia="en-US"/>
        </w:rPr>
      </w:pPr>
      <w:r w:rsidRPr="00474EEB">
        <w:rPr>
          <w:rFonts w:ascii="Arial Narrow" w:hAnsi="Arial Narrow" w:cs="Arial"/>
          <w:b/>
          <w:bCs/>
          <w:iCs/>
          <w:sz w:val="20"/>
          <w:lang w:eastAsia="en-US"/>
        </w:rPr>
        <w:t xml:space="preserve">Table </w:t>
      </w:r>
      <w:r w:rsidRPr="00474EEB">
        <w:rPr>
          <w:rFonts w:ascii="Arial Narrow" w:hAnsi="Arial Narrow" w:cs="Arial"/>
          <w:b/>
          <w:bCs/>
          <w:iCs/>
          <w:sz w:val="20"/>
          <w:lang w:eastAsia="en-US"/>
        </w:rPr>
        <w:fldChar w:fldCharType="begin"/>
      </w:r>
      <w:r w:rsidRPr="00474EEB">
        <w:rPr>
          <w:rFonts w:ascii="Arial Narrow" w:hAnsi="Arial Narrow" w:cs="Arial"/>
          <w:b/>
          <w:bCs/>
          <w:iCs/>
          <w:sz w:val="20"/>
          <w:lang w:eastAsia="en-US"/>
        </w:rPr>
        <w:instrText xml:space="preserve"> SEQ Table \* ARABIC </w:instrText>
      </w:r>
      <w:r w:rsidRPr="00474EEB">
        <w:rPr>
          <w:rFonts w:ascii="Arial Narrow" w:hAnsi="Arial Narrow" w:cs="Arial"/>
          <w:b/>
          <w:bCs/>
          <w:iCs/>
          <w:sz w:val="20"/>
          <w:lang w:eastAsia="en-US"/>
        </w:rPr>
        <w:fldChar w:fldCharType="separate"/>
      </w:r>
      <w:r w:rsidR="006C2E0B">
        <w:rPr>
          <w:rFonts w:ascii="Arial Narrow" w:hAnsi="Arial Narrow" w:cs="Arial"/>
          <w:b/>
          <w:bCs/>
          <w:iCs/>
          <w:noProof/>
          <w:sz w:val="20"/>
          <w:lang w:eastAsia="en-US"/>
        </w:rPr>
        <w:t>2</w:t>
      </w:r>
      <w:r w:rsidRPr="00474EEB">
        <w:rPr>
          <w:rFonts w:ascii="Arial Narrow" w:hAnsi="Arial Narrow" w:cs="Arial"/>
          <w:b/>
          <w:bCs/>
          <w:iCs/>
          <w:noProof/>
          <w:sz w:val="20"/>
          <w:lang w:eastAsia="en-US"/>
        </w:rPr>
        <w:fldChar w:fldCharType="end"/>
      </w:r>
      <w:r w:rsidRPr="00474EEB">
        <w:rPr>
          <w:rFonts w:ascii="Arial Narrow" w:hAnsi="Arial Narrow" w:cs="Arial"/>
          <w:b/>
          <w:bCs/>
          <w:iCs/>
          <w:sz w:val="20"/>
          <w:lang w:eastAsia="en-US"/>
        </w:rPr>
        <w:tab/>
        <w:t>Proposed MBS listing</w:t>
      </w:r>
    </w:p>
    <w:tbl>
      <w:tblPr>
        <w:tblStyle w:val="TableGrid11"/>
        <w:tblW w:w="5000" w:type="pct"/>
        <w:tblLook w:val="04A0" w:firstRow="1" w:lastRow="0" w:firstColumn="1" w:lastColumn="0" w:noHBand="0" w:noVBand="1"/>
        <w:tblDescription w:val="Proposed MBS listing"/>
      </w:tblPr>
      <w:tblGrid>
        <w:gridCol w:w="9016"/>
      </w:tblGrid>
      <w:tr w:rsidR="00474EEB" w:rsidRPr="00474EEB" w14:paraId="697670AC" w14:textId="77777777" w:rsidTr="00360CB8">
        <w:trPr>
          <w:tblHeader/>
        </w:trPr>
        <w:tc>
          <w:tcPr>
            <w:tcW w:w="5000" w:type="pct"/>
          </w:tcPr>
          <w:p w14:paraId="65B84686" w14:textId="77777777" w:rsidR="00474EEB" w:rsidRPr="00474EEB" w:rsidRDefault="00474EEB" w:rsidP="00474EEB">
            <w:pPr>
              <w:keepNext/>
              <w:keepLines/>
              <w:widowControl w:val="0"/>
              <w:spacing w:before="40" w:after="40" w:line="256" w:lineRule="auto"/>
              <w:rPr>
                <w:rFonts w:ascii="Arial Narrow" w:hAnsi="Arial Narrow"/>
                <w:sz w:val="20"/>
                <w:szCs w:val="24"/>
                <w:lang w:eastAsia="en-GB"/>
              </w:rPr>
            </w:pPr>
            <w:r w:rsidRPr="00474EEB">
              <w:rPr>
                <w:rFonts w:ascii="Arial Narrow" w:hAnsi="Arial Narrow"/>
                <w:sz w:val="20"/>
                <w:szCs w:val="24"/>
                <w:lang w:eastAsia="en-GB"/>
              </w:rPr>
              <w:t>Category 6 – PATHOLOGY SERVICES</w:t>
            </w:r>
          </w:p>
        </w:tc>
      </w:tr>
      <w:tr w:rsidR="00474EEB" w:rsidRPr="00474EEB" w14:paraId="1B576849" w14:textId="77777777" w:rsidTr="00360CB8">
        <w:tc>
          <w:tcPr>
            <w:tcW w:w="5000" w:type="pct"/>
          </w:tcPr>
          <w:p w14:paraId="7FCD6932" w14:textId="77777777" w:rsidR="00474EEB" w:rsidRPr="00474EEB" w:rsidRDefault="00474EEB" w:rsidP="00474EEB">
            <w:pPr>
              <w:keepNext/>
              <w:keepLines/>
              <w:widowControl w:val="0"/>
              <w:tabs>
                <w:tab w:val="left" w:pos="7110"/>
              </w:tabs>
              <w:spacing w:before="40" w:after="40" w:line="256" w:lineRule="auto"/>
              <w:rPr>
                <w:rFonts w:ascii="Arial Narrow" w:hAnsi="Arial Narrow"/>
                <w:sz w:val="20"/>
                <w:szCs w:val="24"/>
                <w:lang w:eastAsia="en-GB"/>
              </w:rPr>
            </w:pPr>
            <w:r w:rsidRPr="00474EEB">
              <w:rPr>
                <w:rFonts w:ascii="Arial Narrow" w:hAnsi="Arial Narrow"/>
                <w:sz w:val="20"/>
                <w:szCs w:val="24"/>
                <w:lang w:eastAsia="en-GB"/>
              </w:rPr>
              <w:t>MBS item XXXX</w:t>
            </w:r>
            <w:r w:rsidRPr="00474EEB">
              <w:rPr>
                <w:rFonts w:ascii="Arial Narrow" w:hAnsi="Arial Narrow"/>
                <w:sz w:val="20"/>
                <w:szCs w:val="24"/>
                <w:lang w:eastAsia="en-GB"/>
              </w:rPr>
              <w:tab/>
              <w:t>Group P7 - Genetics</w:t>
            </w:r>
          </w:p>
          <w:p w14:paraId="0649A6E4" w14:textId="77777777" w:rsidR="00474EEB" w:rsidRPr="00474EEB" w:rsidRDefault="00474EEB" w:rsidP="00474EEB">
            <w:pPr>
              <w:keepNext/>
              <w:keepLines/>
              <w:widowControl w:val="0"/>
              <w:spacing w:before="40" w:after="40" w:line="256" w:lineRule="auto"/>
              <w:jc w:val="both"/>
              <w:rPr>
                <w:rFonts w:ascii="Arial Narrow" w:hAnsi="Arial Narrow"/>
                <w:sz w:val="20"/>
                <w:szCs w:val="24"/>
                <w:lang w:eastAsia="en-GB"/>
              </w:rPr>
            </w:pPr>
            <w:r w:rsidRPr="00474EEB">
              <w:rPr>
                <w:rFonts w:ascii="Arial Narrow" w:hAnsi="Arial Narrow"/>
                <w:sz w:val="20"/>
                <w:szCs w:val="24"/>
                <w:lang w:eastAsia="en-GB"/>
              </w:rPr>
              <w:t xml:space="preserve">A test of tumour tissue from a patient with metastatic castration-resistant prostate cancer, requested by a specialist or consultant physician, to determine eligibility relating to </w:t>
            </w:r>
            <w:r w:rsidRPr="00474EEB">
              <w:rPr>
                <w:rFonts w:ascii="Arial Narrow" w:hAnsi="Arial Narrow"/>
                <w:iCs/>
                <w:sz w:val="20"/>
                <w:szCs w:val="24"/>
                <w:lang w:eastAsia="en-GB"/>
              </w:rPr>
              <w:t>BRCA</w:t>
            </w:r>
            <w:r w:rsidRPr="00474EEB">
              <w:rPr>
                <w:rFonts w:ascii="Arial Narrow" w:hAnsi="Arial Narrow"/>
                <w:sz w:val="20"/>
                <w:szCs w:val="24"/>
                <w:lang w:eastAsia="en-GB"/>
              </w:rPr>
              <w:t xml:space="preserve"> status for access to olaparib under the Pharmaceutical Benefits Scheme (PBS).</w:t>
            </w:r>
          </w:p>
          <w:p w14:paraId="529438E4" w14:textId="77777777" w:rsidR="00474EEB" w:rsidRPr="00474EEB" w:rsidRDefault="00474EEB" w:rsidP="00474EEB">
            <w:pPr>
              <w:keepNext/>
              <w:keepLines/>
              <w:widowControl w:val="0"/>
              <w:spacing w:before="40" w:after="40" w:line="256" w:lineRule="auto"/>
              <w:rPr>
                <w:rFonts w:ascii="Arial Narrow" w:hAnsi="Arial Narrow"/>
                <w:sz w:val="20"/>
                <w:szCs w:val="24"/>
                <w:lang w:eastAsia="en-GB"/>
              </w:rPr>
            </w:pPr>
            <w:r w:rsidRPr="00474EEB">
              <w:rPr>
                <w:rFonts w:ascii="Arial Narrow" w:hAnsi="Arial Narrow"/>
                <w:sz w:val="20"/>
                <w:szCs w:val="24"/>
                <w:lang w:eastAsia="en-GB"/>
              </w:rPr>
              <w:t>Applicable once per primary tumour diagnosis</w:t>
            </w:r>
          </w:p>
        </w:tc>
      </w:tr>
      <w:tr w:rsidR="00474EEB" w:rsidRPr="00474EEB" w14:paraId="0C0DAB31" w14:textId="77777777" w:rsidTr="00360CB8">
        <w:tc>
          <w:tcPr>
            <w:tcW w:w="5000" w:type="pct"/>
          </w:tcPr>
          <w:p w14:paraId="034869C0" w14:textId="49CA2C61" w:rsidR="00474EEB" w:rsidRPr="00474EEB" w:rsidRDefault="00474EEB" w:rsidP="00474EEB">
            <w:pPr>
              <w:keepNext/>
              <w:keepLines/>
              <w:widowControl w:val="0"/>
              <w:spacing w:before="40" w:after="40" w:line="256" w:lineRule="auto"/>
              <w:rPr>
                <w:rFonts w:ascii="Arial Narrow" w:hAnsi="Arial Narrow"/>
                <w:sz w:val="20"/>
                <w:szCs w:val="24"/>
                <w:lang w:eastAsia="en-GB"/>
              </w:rPr>
            </w:pPr>
            <w:r w:rsidRPr="00474EEB">
              <w:rPr>
                <w:rFonts w:ascii="Arial Narrow" w:hAnsi="Arial Narrow"/>
                <w:sz w:val="20"/>
                <w:szCs w:val="24"/>
                <w:lang w:eastAsia="en-GB"/>
              </w:rPr>
              <w:t>Fee: $</w:t>
            </w:r>
            <w:r w:rsidRPr="006B6B9E">
              <w:rPr>
                <w:rFonts w:ascii="Arial Narrow" w:hAnsi="Arial Narrow"/>
                <w:sz w:val="20"/>
                <w:szCs w:val="24"/>
                <w:lang w:eastAsia="en-GB"/>
              </w:rPr>
              <w:t>1,200.00</w:t>
            </w:r>
            <w:r w:rsidRPr="000C2A91">
              <w:rPr>
                <w:rFonts w:ascii="Arial Narrow" w:hAnsi="Arial Narrow"/>
                <w:sz w:val="20"/>
                <w:szCs w:val="24"/>
                <w:lang w:eastAsia="en-GB"/>
              </w:rPr>
              <w:t xml:space="preserve"> Benefit: 75% = $</w:t>
            </w:r>
            <w:r w:rsidRPr="006B6B9E">
              <w:rPr>
                <w:rFonts w:ascii="Arial Narrow" w:hAnsi="Arial Narrow"/>
                <w:sz w:val="20"/>
                <w:szCs w:val="24"/>
                <w:lang w:eastAsia="en-GB"/>
              </w:rPr>
              <w:t>900.00</w:t>
            </w:r>
            <w:r w:rsidRPr="000C2A91">
              <w:rPr>
                <w:rFonts w:ascii="Arial Narrow" w:hAnsi="Arial Narrow"/>
                <w:sz w:val="20"/>
                <w:szCs w:val="24"/>
                <w:lang w:eastAsia="en-GB"/>
              </w:rPr>
              <w:t xml:space="preserve"> 85% = $</w:t>
            </w:r>
            <w:r w:rsidRPr="006B6B9E">
              <w:rPr>
                <w:rFonts w:ascii="Arial Narrow" w:hAnsi="Arial Narrow"/>
                <w:sz w:val="20"/>
                <w:szCs w:val="24"/>
                <w:lang w:eastAsia="en-GB"/>
              </w:rPr>
              <w:t>1,115.30</w:t>
            </w:r>
          </w:p>
        </w:tc>
      </w:tr>
      <w:tr w:rsidR="00474EEB" w:rsidRPr="00474EEB" w14:paraId="0F32407F" w14:textId="77777777" w:rsidTr="00360CB8">
        <w:tc>
          <w:tcPr>
            <w:tcW w:w="5000" w:type="pct"/>
          </w:tcPr>
          <w:p w14:paraId="036D3260" w14:textId="77777777" w:rsidR="00474EEB" w:rsidRPr="00474EEB" w:rsidRDefault="00474EEB" w:rsidP="00474EEB">
            <w:pPr>
              <w:keepNext/>
              <w:keepLines/>
              <w:widowControl w:val="0"/>
              <w:spacing w:before="40" w:after="40" w:line="256" w:lineRule="auto"/>
              <w:rPr>
                <w:rFonts w:ascii="Arial Narrow" w:hAnsi="Arial Narrow"/>
                <w:sz w:val="20"/>
                <w:szCs w:val="24"/>
                <w:lang w:eastAsia="en-GB"/>
              </w:rPr>
            </w:pPr>
            <w:r w:rsidRPr="00474EEB">
              <w:rPr>
                <w:rFonts w:ascii="Arial Narrow" w:hAnsi="Arial Narrow"/>
                <w:sz w:val="20"/>
                <w:szCs w:val="24"/>
                <w:lang w:eastAsia="en-GB"/>
              </w:rPr>
              <w:t>Category 6 – PATHOLOGY SERVICES</w:t>
            </w:r>
          </w:p>
        </w:tc>
      </w:tr>
      <w:tr w:rsidR="00474EEB" w:rsidRPr="00474EEB" w14:paraId="5CCC3FB8" w14:textId="77777777" w:rsidTr="00360CB8">
        <w:tc>
          <w:tcPr>
            <w:tcW w:w="5000" w:type="pct"/>
          </w:tcPr>
          <w:p w14:paraId="15E0F221" w14:textId="77777777" w:rsidR="00474EEB" w:rsidRPr="00474EEB" w:rsidRDefault="00474EEB" w:rsidP="00474EEB">
            <w:pPr>
              <w:keepNext/>
              <w:keepLines/>
              <w:widowControl w:val="0"/>
              <w:tabs>
                <w:tab w:val="left" w:pos="7110"/>
              </w:tabs>
              <w:spacing w:before="40" w:after="40" w:line="256" w:lineRule="auto"/>
              <w:rPr>
                <w:rFonts w:ascii="Arial Narrow" w:hAnsi="Arial Narrow"/>
                <w:sz w:val="20"/>
                <w:szCs w:val="24"/>
                <w:lang w:eastAsia="en-GB"/>
              </w:rPr>
            </w:pPr>
            <w:r w:rsidRPr="00474EEB">
              <w:rPr>
                <w:rFonts w:ascii="Arial Narrow" w:hAnsi="Arial Narrow"/>
                <w:sz w:val="20"/>
                <w:szCs w:val="24"/>
                <w:lang w:eastAsia="en-GB"/>
              </w:rPr>
              <w:t>MBS item XXXX</w:t>
            </w:r>
            <w:r w:rsidRPr="00474EEB">
              <w:rPr>
                <w:rFonts w:ascii="Arial Narrow" w:hAnsi="Arial Narrow"/>
                <w:sz w:val="20"/>
                <w:szCs w:val="24"/>
                <w:lang w:eastAsia="en-GB"/>
              </w:rPr>
              <w:tab/>
              <w:t>Group P7 - Genetics</w:t>
            </w:r>
          </w:p>
          <w:p w14:paraId="71B58C17" w14:textId="77777777" w:rsidR="00474EEB" w:rsidRPr="00474EEB" w:rsidRDefault="00474EEB" w:rsidP="00474EEB">
            <w:pPr>
              <w:keepNext/>
              <w:keepLines/>
              <w:widowControl w:val="0"/>
              <w:spacing w:before="40" w:after="40" w:line="256" w:lineRule="auto"/>
              <w:jc w:val="both"/>
              <w:rPr>
                <w:rFonts w:ascii="Arial Narrow" w:hAnsi="Arial Narrow"/>
                <w:sz w:val="20"/>
                <w:szCs w:val="24"/>
                <w:lang w:eastAsia="en-GB"/>
              </w:rPr>
            </w:pPr>
            <w:r w:rsidRPr="00474EEB">
              <w:rPr>
                <w:rFonts w:ascii="Arial Narrow" w:hAnsi="Arial Narrow"/>
                <w:sz w:val="20"/>
                <w:szCs w:val="24"/>
                <w:lang w:eastAsia="en-GB"/>
              </w:rPr>
              <w:t xml:space="preserve">Detection of germline </w:t>
            </w:r>
            <w:r w:rsidRPr="00474EEB">
              <w:rPr>
                <w:rFonts w:ascii="Arial Narrow" w:hAnsi="Arial Narrow"/>
                <w:iCs/>
                <w:sz w:val="20"/>
                <w:szCs w:val="24"/>
                <w:lang w:eastAsia="en-GB"/>
              </w:rPr>
              <w:t>BRCA1</w:t>
            </w:r>
            <w:r w:rsidRPr="00474EEB">
              <w:rPr>
                <w:rFonts w:ascii="Arial Narrow" w:hAnsi="Arial Narrow"/>
                <w:sz w:val="20"/>
                <w:szCs w:val="24"/>
                <w:lang w:eastAsia="en-GB"/>
              </w:rPr>
              <w:t xml:space="preserve"> or </w:t>
            </w:r>
            <w:r w:rsidRPr="00474EEB">
              <w:rPr>
                <w:rFonts w:ascii="Arial Narrow" w:hAnsi="Arial Narrow"/>
                <w:iCs/>
                <w:sz w:val="20"/>
                <w:szCs w:val="24"/>
                <w:lang w:eastAsia="en-GB"/>
              </w:rPr>
              <w:t>BRCA2</w:t>
            </w:r>
            <w:r w:rsidRPr="00474EEB">
              <w:rPr>
                <w:rFonts w:ascii="Arial Narrow" w:hAnsi="Arial Narrow"/>
                <w:sz w:val="20"/>
                <w:szCs w:val="24"/>
                <w:lang w:eastAsia="en-GB"/>
              </w:rPr>
              <w:t xml:space="preserve"> pathogenic or likely pathogenic gene variants, in a patient with metastatic castration-resistant prostate cancer, for whom testing of tumour tissue is not feasible, requested by a specialist or consultant physician, to determine eligibility for olaparib under the Pharmaceutical Benefits Scheme (PBS).</w:t>
            </w:r>
          </w:p>
        </w:tc>
      </w:tr>
      <w:tr w:rsidR="00474EEB" w:rsidRPr="00474EEB" w14:paraId="257BC7AC" w14:textId="77777777" w:rsidTr="00360CB8">
        <w:tc>
          <w:tcPr>
            <w:tcW w:w="5000" w:type="pct"/>
          </w:tcPr>
          <w:p w14:paraId="22B56F4E" w14:textId="6C15557C" w:rsidR="00474EEB" w:rsidRPr="00474EEB" w:rsidRDefault="00474EEB" w:rsidP="00474EEB">
            <w:pPr>
              <w:keepNext/>
              <w:keepLines/>
              <w:widowControl w:val="0"/>
              <w:spacing w:before="40" w:after="40" w:line="256" w:lineRule="auto"/>
              <w:rPr>
                <w:rFonts w:ascii="Arial Narrow" w:hAnsi="Arial Narrow"/>
                <w:sz w:val="20"/>
                <w:szCs w:val="24"/>
                <w:lang w:eastAsia="en-GB"/>
              </w:rPr>
            </w:pPr>
            <w:r w:rsidRPr="00474EEB">
              <w:rPr>
                <w:rFonts w:ascii="Arial Narrow" w:hAnsi="Arial Narrow"/>
                <w:sz w:val="20"/>
                <w:szCs w:val="24"/>
                <w:lang w:eastAsia="en-GB"/>
              </w:rPr>
              <w:t>Fee</w:t>
            </w:r>
            <w:r w:rsidRPr="000C2A91">
              <w:rPr>
                <w:rFonts w:ascii="Arial Narrow" w:hAnsi="Arial Narrow"/>
                <w:sz w:val="20"/>
                <w:szCs w:val="24"/>
                <w:lang w:eastAsia="en-GB"/>
              </w:rPr>
              <w:t>: $</w:t>
            </w:r>
            <w:r w:rsidRPr="006B6B9E">
              <w:rPr>
                <w:rFonts w:ascii="Arial Narrow" w:hAnsi="Arial Narrow"/>
                <w:sz w:val="20"/>
                <w:szCs w:val="24"/>
                <w:lang w:eastAsia="en-GB"/>
              </w:rPr>
              <w:t>1,200.00</w:t>
            </w:r>
            <w:r w:rsidRPr="000C2A91">
              <w:rPr>
                <w:rFonts w:ascii="Arial Narrow" w:hAnsi="Arial Narrow"/>
                <w:sz w:val="20"/>
                <w:szCs w:val="24"/>
                <w:lang w:eastAsia="en-GB"/>
              </w:rPr>
              <w:t xml:space="preserve"> Benefit: 75% = $</w:t>
            </w:r>
            <w:r w:rsidRPr="006B6B9E">
              <w:rPr>
                <w:rFonts w:ascii="Arial Narrow" w:hAnsi="Arial Narrow"/>
                <w:sz w:val="20"/>
                <w:szCs w:val="24"/>
                <w:lang w:eastAsia="en-GB"/>
              </w:rPr>
              <w:t>900.00</w:t>
            </w:r>
            <w:r w:rsidRPr="000C2A91">
              <w:rPr>
                <w:rFonts w:ascii="Arial Narrow" w:hAnsi="Arial Narrow"/>
                <w:sz w:val="20"/>
                <w:szCs w:val="24"/>
                <w:lang w:eastAsia="en-GB"/>
              </w:rPr>
              <w:t xml:space="preserve"> 85% = $</w:t>
            </w:r>
            <w:r w:rsidRPr="006B6B9E">
              <w:rPr>
                <w:rFonts w:ascii="Arial Narrow" w:hAnsi="Arial Narrow"/>
                <w:sz w:val="20"/>
                <w:szCs w:val="24"/>
                <w:lang w:eastAsia="en-GB"/>
              </w:rPr>
              <w:t>1,115.30</w:t>
            </w:r>
          </w:p>
        </w:tc>
      </w:tr>
      <w:tr w:rsidR="00474EEB" w:rsidRPr="00474EEB" w14:paraId="0BECCB4A" w14:textId="77777777" w:rsidTr="00360CB8">
        <w:tc>
          <w:tcPr>
            <w:tcW w:w="5000" w:type="pct"/>
          </w:tcPr>
          <w:p w14:paraId="18A7DE24" w14:textId="77777777" w:rsidR="00474EEB" w:rsidRPr="00474EEB" w:rsidRDefault="00474EEB" w:rsidP="00474EEB">
            <w:pPr>
              <w:keepNext/>
              <w:keepLines/>
              <w:widowControl w:val="0"/>
              <w:spacing w:before="40" w:after="40" w:line="256" w:lineRule="auto"/>
              <w:rPr>
                <w:rFonts w:ascii="Arial Narrow" w:hAnsi="Arial Narrow"/>
                <w:sz w:val="20"/>
                <w:szCs w:val="24"/>
                <w:lang w:eastAsia="en-GB"/>
              </w:rPr>
            </w:pPr>
            <w:r w:rsidRPr="00474EEB">
              <w:rPr>
                <w:rFonts w:ascii="Arial Narrow" w:hAnsi="Arial Narrow"/>
                <w:sz w:val="20"/>
                <w:szCs w:val="24"/>
                <w:lang w:eastAsia="en-GB"/>
              </w:rPr>
              <w:t>Explanatory notes</w:t>
            </w:r>
          </w:p>
          <w:p w14:paraId="7B01B795" w14:textId="77777777" w:rsidR="00474EEB" w:rsidRPr="00474EEB" w:rsidRDefault="00474EEB" w:rsidP="00474EEB">
            <w:pPr>
              <w:keepNext/>
              <w:keepLines/>
              <w:widowControl w:val="0"/>
              <w:spacing w:before="40" w:after="40" w:line="256" w:lineRule="auto"/>
              <w:jc w:val="both"/>
              <w:rPr>
                <w:rFonts w:ascii="Arial Narrow" w:hAnsi="Arial Narrow"/>
                <w:sz w:val="20"/>
                <w:szCs w:val="24"/>
                <w:lang w:eastAsia="en-GB"/>
              </w:rPr>
            </w:pPr>
            <w:r w:rsidRPr="00474EEB">
              <w:rPr>
                <w:rFonts w:ascii="Arial Narrow" w:hAnsi="Arial Narrow"/>
                <w:sz w:val="20"/>
                <w:szCs w:val="24"/>
                <w:lang w:eastAsia="en-GB"/>
              </w:rPr>
              <w:t xml:space="preserve">Patients who are found to have a pathogenic or likely pathogenic variant in </w:t>
            </w:r>
            <w:r w:rsidRPr="00474EEB">
              <w:rPr>
                <w:rFonts w:ascii="Arial Narrow" w:hAnsi="Arial Narrow"/>
                <w:iCs/>
                <w:sz w:val="20"/>
                <w:szCs w:val="24"/>
                <w:lang w:eastAsia="en-GB"/>
              </w:rPr>
              <w:t xml:space="preserve">BRCA1 </w:t>
            </w:r>
            <w:r w:rsidRPr="00474EEB">
              <w:rPr>
                <w:rFonts w:ascii="Arial Narrow" w:hAnsi="Arial Narrow"/>
                <w:sz w:val="20"/>
                <w:szCs w:val="24"/>
                <w:lang w:eastAsia="en-GB"/>
              </w:rPr>
              <w:t xml:space="preserve">or </w:t>
            </w:r>
            <w:r w:rsidRPr="00474EEB">
              <w:rPr>
                <w:rFonts w:ascii="Arial Narrow" w:hAnsi="Arial Narrow"/>
                <w:iCs/>
                <w:sz w:val="20"/>
                <w:szCs w:val="24"/>
                <w:lang w:eastAsia="en-GB"/>
              </w:rPr>
              <w:t>BRCA2</w:t>
            </w:r>
            <w:r w:rsidRPr="00474EEB">
              <w:rPr>
                <w:rFonts w:ascii="Arial Narrow" w:hAnsi="Arial Narrow"/>
                <w:sz w:val="20"/>
                <w:szCs w:val="24"/>
                <w:lang w:eastAsia="en-GB"/>
              </w:rPr>
              <w:t xml:space="preserve"> should be referred for post-test genetic counselling as there may be implications for other family members. Appropriate genetic counselling should be provided to the patient either by the specialist treating practitioner, a genetic counselling service or clinical geneticist.</w:t>
            </w:r>
          </w:p>
        </w:tc>
      </w:tr>
    </w:tbl>
    <w:p w14:paraId="163F889D" w14:textId="77777777" w:rsidR="00474EEB" w:rsidRPr="00474EEB" w:rsidRDefault="00474EEB" w:rsidP="00474EEB">
      <w:pPr>
        <w:keepNext/>
        <w:keepLines/>
        <w:widowControl w:val="0"/>
        <w:spacing w:after="240"/>
        <w:jc w:val="both"/>
        <w:rPr>
          <w:rFonts w:ascii="Arial Narrow" w:hAnsi="Arial Narrow" w:cs="Arial"/>
          <w:snapToGrid w:val="0"/>
          <w:sz w:val="18"/>
          <w:lang w:eastAsia="en-GB"/>
        </w:rPr>
      </w:pPr>
      <w:r w:rsidRPr="00474EEB">
        <w:rPr>
          <w:rFonts w:ascii="Arial Narrow" w:hAnsi="Arial Narrow" w:cs="Arial"/>
          <w:snapToGrid w:val="0"/>
          <w:sz w:val="18"/>
          <w:lang w:eastAsia="en-GB"/>
        </w:rPr>
        <w:t>Source: Table 1-7, p44 of the submission.</w:t>
      </w:r>
    </w:p>
    <w:p w14:paraId="2F042F34" w14:textId="4D77D083" w:rsidR="00474EEB" w:rsidRPr="00474EEB" w:rsidRDefault="00474EEB" w:rsidP="007C2DC0">
      <w:pPr>
        <w:spacing w:before="240"/>
        <w:rPr>
          <w:szCs w:val="24"/>
          <w:lang w:eastAsia="en-GB"/>
        </w:rPr>
      </w:pPr>
      <w:r w:rsidRPr="00474EEB">
        <w:rPr>
          <w:iCs/>
          <w:szCs w:val="24"/>
          <w:lang w:eastAsia="en-GB"/>
        </w:rPr>
        <w:t>The wording of the proposed MBS item descriptors was similar to that in the ratified PICO (</w:t>
      </w:r>
      <w:hyperlink r:id="rId26" w:history="1">
        <w:r w:rsidRPr="00474EEB">
          <w:rPr>
            <w:iCs/>
            <w:color w:val="0000FF"/>
            <w:szCs w:val="24"/>
            <w:u w:val="single"/>
            <w:lang w:eastAsia="en-GB"/>
          </w:rPr>
          <w:t>Application 1618 Ratified PICO Confirmation</w:t>
        </w:r>
      </w:hyperlink>
      <w:r w:rsidRPr="00474EEB">
        <w:rPr>
          <w:iCs/>
          <w:szCs w:val="24"/>
          <w:lang w:eastAsia="en-GB"/>
        </w:rPr>
        <w:t xml:space="preserve">, p18-20), with modification to remove </w:t>
      </w:r>
      <w:r w:rsidRPr="00474EEB">
        <w:rPr>
          <w:i/>
          <w:iCs/>
          <w:szCs w:val="24"/>
          <w:lang w:eastAsia="en-GB"/>
        </w:rPr>
        <w:t>ATM</w:t>
      </w:r>
      <w:r w:rsidRPr="00474EEB">
        <w:rPr>
          <w:iCs/>
          <w:szCs w:val="24"/>
          <w:lang w:eastAsia="en-GB"/>
        </w:rPr>
        <w:t xml:space="preserve"> testing</w:t>
      </w:r>
      <w:r w:rsidRPr="00474EEB">
        <w:rPr>
          <w:i/>
          <w:iCs/>
          <w:szCs w:val="24"/>
          <w:lang w:eastAsia="en-GB"/>
        </w:rPr>
        <w:t xml:space="preserve">. </w:t>
      </w:r>
      <w:r w:rsidRPr="00474EEB">
        <w:rPr>
          <w:szCs w:val="24"/>
          <w:lang w:eastAsia="en-GB"/>
        </w:rPr>
        <w:t xml:space="preserve">The submission stated that </w:t>
      </w:r>
      <w:r w:rsidRPr="00474EEB">
        <w:rPr>
          <w:i/>
          <w:iCs/>
          <w:szCs w:val="24"/>
          <w:lang w:eastAsia="en-GB"/>
        </w:rPr>
        <w:t>BRCA1/2</w:t>
      </w:r>
      <w:r w:rsidRPr="00474EEB">
        <w:rPr>
          <w:szCs w:val="24"/>
          <w:lang w:eastAsia="en-GB"/>
        </w:rPr>
        <w:t xml:space="preserve"> and </w:t>
      </w:r>
      <w:r w:rsidRPr="00474EEB">
        <w:rPr>
          <w:i/>
          <w:iCs/>
          <w:szCs w:val="24"/>
          <w:lang w:eastAsia="en-GB"/>
        </w:rPr>
        <w:t>ATM</w:t>
      </w:r>
      <w:r w:rsidRPr="00474EEB">
        <w:rPr>
          <w:szCs w:val="24"/>
          <w:lang w:eastAsia="en-GB"/>
        </w:rPr>
        <w:t xml:space="preserve"> are </w:t>
      </w:r>
      <w:r w:rsidRPr="00474EEB">
        <w:t>well</w:t>
      </w:r>
      <w:r w:rsidRPr="00474EEB">
        <w:rPr>
          <w:szCs w:val="24"/>
          <w:lang w:eastAsia="en-GB"/>
        </w:rPr>
        <w:t xml:space="preserve"> characterised pathogenic gene variants in prostate cancer and were included in Cohort A of the </w:t>
      </w:r>
      <w:proofErr w:type="spellStart"/>
      <w:r w:rsidRPr="00474EEB">
        <w:rPr>
          <w:szCs w:val="24"/>
          <w:lang w:eastAsia="en-GB"/>
        </w:rPr>
        <w:t>PROfound</w:t>
      </w:r>
      <w:proofErr w:type="spellEnd"/>
      <w:r w:rsidRPr="00474EEB">
        <w:rPr>
          <w:szCs w:val="24"/>
          <w:lang w:eastAsia="en-GB"/>
        </w:rPr>
        <w:t xml:space="preserve"> trial (the ITT population), but analysis of the Cohort A subgroups suggested that olaparib was not effective in patients with the </w:t>
      </w:r>
      <w:r w:rsidRPr="00474EEB">
        <w:rPr>
          <w:i/>
          <w:iCs/>
          <w:szCs w:val="24"/>
          <w:lang w:eastAsia="en-GB"/>
        </w:rPr>
        <w:t xml:space="preserve">ATM </w:t>
      </w:r>
      <w:r w:rsidRPr="00474EEB">
        <w:rPr>
          <w:szCs w:val="24"/>
          <w:lang w:eastAsia="en-GB"/>
        </w:rPr>
        <w:t>gene variant (Hussain et al 2020).</w:t>
      </w:r>
    </w:p>
    <w:p w14:paraId="11AF0D1F" w14:textId="49C590D4" w:rsidR="00474EEB" w:rsidRPr="00474EEB" w:rsidRDefault="00474EEB" w:rsidP="007C2DC0">
      <w:pPr>
        <w:spacing w:before="240"/>
        <w:rPr>
          <w:szCs w:val="24"/>
          <w:lang w:eastAsia="en-GB"/>
        </w:rPr>
      </w:pPr>
      <w:r w:rsidRPr="00474EEB">
        <w:rPr>
          <w:iCs/>
          <w:szCs w:val="24"/>
          <w:lang w:eastAsia="en-GB"/>
        </w:rPr>
        <w:t xml:space="preserve">The Commentary noted that Hussain et al 2020 reported a larger improvement in overall survival (OS) for olaparib versus NHA in the </w:t>
      </w:r>
      <w:r w:rsidRPr="00474EEB">
        <w:rPr>
          <w:i/>
          <w:iCs/>
          <w:szCs w:val="24"/>
          <w:lang w:eastAsia="en-GB"/>
        </w:rPr>
        <w:t>BRCA1/2</w:t>
      </w:r>
      <w:r w:rsidRPr="00474EEB">
        <w:rPr>
          <w:iCs/>
          <w:szCs w:val="24"/>
          <w:lang w:eastAsia="en-GB"/>
        </w:rPr>
        <w:t xml:space="preserve"> subgroup versus the ITT population </w:t>
      </w:r>
      <w:r w:rsidR="009D5CBA">
        <w:rPr>
          <w:iCs/>
          <w:szCs w:val="24"/>
          <w:lang w:eastAsia="en-GB"/>
        </w:rPr>
        <w:t xml:space="preserve">of </w:t>
      </w:r>
      <w:r w:rsidRPr="00474EEB">
        <w:rPr>
          <w:iCs/>
          <w:szCs w:val="24"/>
          <w:lang w:eastAsia="en-GB"/>
        </w:rPr>
        <w:t>Cohort A</w:t>
      </w:r>
      <w:r w:rsidR="00976BE9">
        <w:rPr>
          <w:iCs/>
          <w:szCs w:val="24"/>
          <w:lang w:eastAsia="en-GB"/>
        </w:rPr>
        <w:t>, with</w:t>
      </w:r>
      <w:r w:rsidRPr="00474EEB">
        <w:rPr>
          <w:iCs/>
          <w:szCs w:val="24"/>
          <w:lang w:eastAsia="en-GB"/>
        </w:rPr>
        <w:t xml:space="preserve"> </w:t>
      </w:r>
      <w:r w:rsidR="009D5CBA">
        <w:rPr>
          <w:iCs/>
          <w:szCs w:val="24"/>
          <w:lang w:eastAsia="en-GB"/>
        </w:rPr>
        <w:t>hazard ratios</w:t>
      </w:r>
      <w:r w:rsidRPr="00474EEB">
        <w:rPr>
          <w:iCs/>
          <w:szCs w:val="24"/>
          <w:lang w:eastAsia="en-GB"/>
        </w:rPr>
        <w:t xml:space="preserve"> (95% CIs)</w:t>
      </w:r>
      <w:r w:rsidR="00976BE9">
        <w:rPr>
          <w:iCs/>
          <w:szCs w:val="24"/>
          <w:lang w:eastAsia="en-GB"/>
        </w:rPr>
        <w:t xml:space="preserve"> being</w:t>
      </w:r>
      <w:r w:rsidRPr="00474EEB">
        <w:rPr>
          <w:iCs/>
          <w:szCs w:val="24"/>
          <w:lang w:eastAsia="en-GB"/>
        </w:rPr>
        <w:t xml:space="preserve"> 0.</w:t>
      </w:r>
      <w:r w:rsidR="009D5CBA">
        <w:rPr>
          <w:iCs/>
          <w:szCs w:val="24"/>
          <w:lang w:eastAsia="en-GB"/>
        </w:rPr>
        <w:t>63</w:t>
      </w:r>
      <w:r w:rsidRPr="00474EEB">
        <w:rPr>
          <w:iCs/>
          <w:szCs w:val="24"/>
          <w:lang w:eastAsia="en-GB"/>
        </w:rPr>
        <w:t xml:space="preserve"> (0.</w:t>
      </w:r>
      <w:r w:rsidR="009D5CBA">
        <w:rPr>
          <w:iCs/>
          <w:szCs w:val="24"/>
          <w:lang w:eastAsia="en-GB"/>
        </w:rPr>
        <w:t>4</w:t>
      </w:r>
      <w:r w:rsidR="00976BE9">
        <w:rPr>
          <w:iCs/>
          <w:szCs w:val="24"/>
          <w:lang w:eastAsia="en-GB"/>
        </w:rPr>
        <w:t>2</w:t>
      </w:r>
      <w:r w:rsidRPr="00474EEB">
        <w:rPr>
          <w:iCs/>
          <w:szCs w:val="24"/>
          <w:lang w:eastAsia="en-GB"/>
        </w:rPr>
        <w:t xml:space="preserve">, </w:t>
      </w:r>
      <w:r w:rsidR="009D5CBA">
        <w:rPr>
          <w:iCs/>
          <w:szCs w:val="24"/>
          <w:lang w:eastAsia="en-GB"/>
        </w:rPr>
        <w:t>0</w:t>
      </w:r>
      <w:r w:rsidR="00976BE9">
        <w:rPr>
          <w:iCs/>
          <w:szCs w:val="24"/>
          <w:lang w:eastAsia="en-GB"/>
        </w:rPr>
        <w:t>.95</w:t>
      </w:r>
      <w:r w:rsidRPr="00474EEB">
        <w:rPr>
          <w:iCs/>
          <w:szCs w:val="24"/>
          <w:lang w:eastAsia="en-GB"/>
        </w:rPr>
        <w:t xml:space="preserve">) </w:t>
      </w:r>
      <w:r w:rsidR="00976BE9">
        <w:rPr>
          <w:iCs/>
          <w:szCs w:val="24"/>
          <w:lang w:eastAsia="en-GB"/>
        </w:rPr>
        <w:t xml:space="preserve">and </w:t>
      </w:r>
      <w:r w:rsidRPr="00474EEB">
        <w:rPr>
          <w:iCs/>
          <w:szCs w:val="24"/>
          <w:lang w:eastAsia="en-GB"/>
        </w:rPr>
        <w:t>0.69 (0.50, 0.97)</w:t>
      </w:r>
      <w:r w:rsidR="00976BE9">
        <w:rPr>
          <w:iCs/>
          <w:szCs w:val="24"/>
          <w:lang w:eastAsia="en-GB"/>
        </w:rPr>
        <w:t>, respectively</w:t>
      </w:r>
      <w:r w:rsidRPr="00474EEB">
        <w:rPr>
          <w:iCs/>
          <w:szCs w:val="24"/>
          <w:vertAlign w:val="superscript"/>
          <w:lang w:eastAsia="en-GB"/>
        </w:rPr>
        <w:footnoteReference w:id="1"/>
      </w:r>
      <w:r w:rsidRPr="00474EEB">
        <w:rPr>
          <w:iCs/>
          <w:szCs w:val="24"/>
          <w:lang w:eastAsia="en-GB"/>
        </w:rPr>
        <w:t xml:space="preserve">, but there was no improvement in OS in the </w:t>
      </w:r>
      <w:r w:rsidRPr="00474EEB">
        <w:rPr>
          <w:i/>
          <w:iCs/>
          <w:szCs w:val="24"/>
          <w:lang w:eastAsia="en-GB"/>
        </w:rPr>
        <w:t>ATM</w:t>
      </w:r>
      <w:r w:rsidRPr="00474EEB">
        <w:rPr>
          <w:iCs/>
          <w:szCs w:val="24"/>
          <w:lang w:eastAsia="en-GB"/>
        </w:rPr>
        <w:t xml:space="preserve"> subgroup, HR 0.93 (95% CI: 0.53, 1.75)</w:t>
      </w:r>
      <w:bookmarkStart w:id="2" w:name="m_2598126404956349089_m_8109927878222445"/>
      <w:bookmarkEnd w:id="2"/>
      <w:r w:rsidRPr="00474EEB">
        <w:rPr>
          <w:iCs/>
          <w:szCs w:val="24"/>
          <w:lang w:eastAsia="en-GB"/>
        </w:rPr>
        <w:t>, despite a reasonable sample size</w:t>
      </w:r>
      <w:r w:rsidRPr="00474EEB">
        <w:rPr>
          <w:iCs/>
          <w:szCs w:val="24"/>
          <w:vertAlign w:val="superscript"/>
          <w:lang w:eastAsia="en-GB"/>
        </w:rPr>
        <w:footnoteReference w:id="2"/>
      </w:r>
      <w:r w:rsidRPr="00474EEB">
        <w:rPr>
          <w:iCs/>
          <w:szCs w:val="24"/>
          <w:lang w:eastAsia="en-GB"/>
        </w:rPr>
        <w:t>.</w:t>
      </w:r>
      <w:r w:rsidRPr="00474EEB">
        <w:rPr>
          <w:i/>
          <w:iCs/>
          <w:szCs w:val="24"/>
          <w:lang w:eastAsia="en-GB"/>
        </w:rPr>
        <w:t xml:space="preserve"> </w:t>
      </w:r>
      <w:r w:rsidRPr="00474EEB">
        <w:rPr>
          <w:iCs/>
          <w:szCs w:val="24"/>
          <w:lang w:eastAsia="en-GB"/>
        </w:rPr>
        <w:t xml:space="preserve">The Commentary considered that it was unclear whether these </w:t>
      </w:r>
      <w:r w:rsidR="00976BE9">
        <w:rPr>
          <w:iCs/>
          <w:szCs w:val="24"/>
          <w:lang w:eastAsia="en-GB"/>
        </w:rPr>
        <w:t>hazard ratios</w:t>
      </w:r>
      <w:r w:rsidRPr="00474EEB">
        <w:rPr>
          <w:iCs/>
          <w:szCs w:val="24"/>
          <w:lang w:eastAsia="en-GB"/>
        </w:rPr>
        <w:t xml:space="preserve"> for the subgroups c</w:t>
      </w:r>
      <w:r w:rsidR="00976BE9">
        <w:rPr>
          <w:iCs/>
          <w:szCs w:val="24"/>
          <w:lang w:eastAsia="en-GB"/>
        </w:rPr>
        <w:t>ould</w:t>
      </w:r>
      <w:r w:rsidRPr="00474EEB">
        <w:rPr>
          <w:iCs/>
          <w:szCs w:val="24"/>
          <w:lang w:eastAsia="en-GB"/>
        </w:rPr>
        <w:t xml:space="preserve"> be accepted as different from each other and from the ITT </w:t>
      </w:r>
      <w:r w:rsidR="00976BE9">
        <w:rPr>
          <w:iCs/>
          <w:szCs w:val="24"/>
          <w:lang w:eastAsia="en-GB"/>
        </w:rPr>
        <w:t>hazard ratio</w:t>
      </w:r>
      <w:r w:rsidRPr="00474EEB">
        <w:rPr>
          <w:iCs/>
          <w:szCs w:val="24"/>
          <w:lang w:eastAsia="en-GB"/>
        </w:rPr>
        <w:t xml:space="preserve">. The Commentary highlighted that another small cohort study of 23 patients with </w:t>
      </w:r>
      <w:proofErr w:type="spellStart"/>
      <w:r w:rsidRPr="00474EEB">
        <w:rPr>
          <w:iCs/>
          <w:szCs w:val="24"/>
          <w:lang w:eastAsia="en-GB"/>
        </w:rPr>
        <w:t>mCRPC</w:t>
      </w:r>
      <w:proofErr w:type="spellEnd"/>
      <w:r w:rsidRPr="00474EEB">
        <w:rPr>
          <w:iCs/>
          <w:szCs w:val="24"/>
          <w:lang w:eastAsia="en-GB"/>
        </w:rPr>
        <w:t xml:space="preserve"> treated with olaparib also found that patients with </w:t>
      </w:r>
      <w:r w:rsidRPr="00474EEB">
        <w:rPr>
          <w:i/>
          <w:iCs/>
          <w:szCs w:val="24"/>
          <w:lang w:eastAsia="en-GB"/>
        </w:rPr>
        <w:t>ATM</w:t>
      </w:r>
      <w:r w:rsidRPr="00474EEB">
        <w:rPr>
          <w:iCs/>
          <w:szCs w:val="24"/>
          <w:lang w:eastAsia="en-GB"/>
        </w:rPr>
        <w:t xml:space="preserve"> alterations may not respond to olaparib as well as those with </w:t>
      </w:r>
      <w:r w:rsidRPr="00474EEB">
        <w:rPr>
          <w:i/>
          <w:iCs/>
          <w:szCs w:val="24"/>
          <w:lang w:eastAsia="en-GB"/>
        </w:rPr>
        <w:t>BRCA1/2</w:t>
      </w:r>
      <w:r w:rsidRPr="00474EEB">
        <w:rPr>
          <w:iCs/>
          <w:szCs w:val="24"/>
          <w:lang w:eastAsia="en-GB"/>
        </w:rPr>
        <w:t xml:space="preserve"> pathogenic </w:t>
      </w:r>
      <w:r w:rsidR="00F97785">
        <w:t xml:space="preserve">gene </w:t>
      </w:r>
      <w:r w:rsidRPr="00474EEB">
        <w:rPr>
          <w:iCs/>
          <w:szCs w:val="24"/>
          <w:lang w:eastAsia="en-GB"/>
        </w:rPr>
        <w:t>variants (Marshall et al 2019</w:t>
      </w:r>
      <w:r w:rsidRPr="00474EEB">
        <w:rPr>
          <w:iCs/>
          <w:szCs w:val="24"/>
          <w:vertAlign w:val="superscript"/>
          <w:lang w:eastAsia="en-GB"/>
        </w:rPr>
        <w:footnoteReference w:id="3"/>
      </w:r>
      <w:r w:rsidRPr="00474EEB">
        <w:rPr>
          <w:iCs/>
          <w:szCs w:val="24"/>
          <w:lang w:eastAsia="en-GB"/>
        </w:rPr>
        <w:t xml:space="preserve">). In this study, OS was longer in patients with </w:t>
      </w:r>
      <w:r w:rsidRPr="00474EEB">
        <w:rPr>
          <w:i/>
          <w:iCs/>
          <w:szCs w:val="24"/>
          <w:lang w:eastAsia="en-GB"/>
        </w:rPr>
        <w:t>BRCA1/2</w:t>
      </w:r>
      <w:r w:rsidRPr="00474EEB">
        <w:rPr>
          <w:iCs/>
          <w:szCs w:val="24"/>
          <w:lang w:eastAsia="en-GB"/>
        </w:rPr>
        <w:t xml:space="preserve"> pathogenic </w:t>
      </w:r>
      <w:r w:rsidR="00F97785">
        <w:t xml:space="preserve">gene </w:t>
      </w:r>
      <w:r w:rsidRPr="00474EEB">
        <w:rPr>
          <w:iCs/>
          <w:szCs w:val="24"/>
          <w:lang w:eastAsia="en-GB"/>
        </w:rPr>
        <w:t xml:space="preserve">variants than in those with </w:t>
      </w:r>
      <w:r w:rsidRPr="00474EEB">
        <w:rPr>
          <w:i/>
          <w:iCs/>
          <w:szCs w:val="24"/>
          <w:lang w:eastAsia="en-GB"/>
        </w:rPr>
        <w:t>ATM</w:t>
      </w:r>
      <w:r w:rsidRPr="00474EEB">
        <w:rPr>
          <w:iCs/>
          <w:szCs w:val="24"/>
          <w:lang w:eastAsia="en-GB"/>
        </w:rPr>
        <w:t xml:space="preserve"> alterations (29.8 vs 4.1 months; </w:t>
      </w:r>
      <w:r w:rsidR="00976BE9">
        <w:rPr>
          <w:iCs/>
          <w:szCs w:val="24"/>
          <w:lang w:eastAsia="en-GB"/>
        </w:rPr>
        <w:t>hazard ratio (95% CI) of</w:t>
      </w:r>
      <w:r w:rsidRPr="00474EEB">
        <w:rPr>
          <w:iCs/>
          <w:szCs w:val="24"/>
          <w:lang w:eastAsia="en-GB"/>
        </w:rPr>
        <w:t xml:space="preserve"> 0.14 </w:t>
      </w:r>
      <w:r w:rsidR="00976BE9">
        <w:rPr>
          <w:iCs/>
          <w:szCs w:val="24"/>
          <w:lang w:eastAsia="en-GB"/>
        </w:rPr>
        <w:t>(</w:t>
      </w:r>
      <w:r w:rsidRPr="00474EEB">
        <w:rPr>
          <w:iCs/>
          <w:szCs w:val="24"/>
          <w:lang w:eastAsia="en-GB"/>
        </w:rPr>
        <w:t>0.02, 0.88). The data from Marshal</w:t>
      </w:r>
      <w:r w:rsidR="00976BE9">
        <w:rPr>
          <w:iCs/>
          <w:szCs w:val="24"/>
          <w:lang w:eastAsia="en-GB"/>
        </w:rPr>
        <w:t>l</w:t>
      </w:r>
      <w:r w:rsidRPr="00474EEB">
        <w:rPr>
          <w:iCs/>
          <w:szCs w:val="24"/>
          <w:lang w:eastAsia="en-GB"/>
        </w:rPr>
        <w:t xml:space="preserve"> et al 2019 were not presented in the submission.</w:t>
      </w:r>
    </w:p>
    <w:p w14:paraId="559EB0AF" w14:textId="23BE0986" w:rsidR="00474EEB" w:rsidRPr="00474EEB" w:rsidRDefault="00474EEB" w:rsidP="007C2DC0">
      <w:pPr>
        <w:spacing w:before="240"/>
        <w:rPr>
          <w:i/>
          <w:iCs/>
          <w:szCs w:val="24"/>
          <w:lang w:eastAsia="en-GB"/>
        </w:rPr>
      </w:pPr>
      <w:r w:rsidRPr="00474EEB">
        <w:rPr>
          <w:szCs w:val="24"/>
          <w:lang w:eastAsia="en-GB"/>
        </w:rPr>
        <w:t xml:space="preserve">The submission added the Committee for Medicinal Products for Human Use (CHMP) had recommended to the European Medicines Agency (EMA) that olaparib should only be approved in the </w:t>
      </w:r>
      <w:r w:rsidRPr="00474EEB">
        <w:rPr>
          <w:i/>
          <w:iCs/>
          <w:szCs w:val="24"/>
          <w:lang w:eastAsia="en-GB"/>
        </w:rPr>
        <w:t>BRCA1/2</w:t>
      </w:r>
      <w:r w:rsidRPr="00474EEB">
        <w:rPr>
          <w:szCs w:val="24"/>
          <w:lang w:eastAsia="en-GB"/>
        </w:rPr>
        <w:t xml:space="preserve"> gene variant population, and it was likely that the TGA indication </w:t>
      </w:r>
      <w:r w:rsidRPr="00474EEB">
        <w:rPr>
          <w:szCs w:val="24"/>
          <w:lang w:eastAsia="en-GB"/>
        </w:rPr>
        <w:lastRenderedPageBreak/>
        <w:t xml:space="preserve">would be similar. Thus, listing was only requested for the </w:t>
      </w:r>
      <w:r w:rsidRPr="00474EEB">
        <w:rPr>
          <w:i/>
          <w:iCs/>
          <w:szCs w:val="24"/>
          <w:lang w:eastAsia="en-GB"/>
        </w:rPr>
        <w:t>BRCA1/2</w:t>
      </w:r>
      <w:r w:rsidRPr="00474EEB">
        <w:rPr>
          <w:szCs w:val="24"/>
          <w:lang w:eastAsia="en-GB"/>
        </w:rPr>
        <w:t xml:space="preserve"> subgroup. </w:t>
      </w:r>
      <w:r w:rsidRPr="00474EEB">
        <w:rPr>
          <w:iCs/>
          <w:szCs w:val="24"/>
          <w:lang w:eastAsia="en-GB"/>
        </w:rPr>
        <w:t xml:space="preserve">Given the TGA delegate has since recommended olaparib only for the </w:t>
      </w:r>
      <w:r w:rsidRPr="00474EEB">
        <w:rPr>
          <w:i/>
          <w:iCs/>
          <w:szCs w:val="24"/>
          <w:lang w:eastAsia="en-GB"/>
        </w:rPr>
        <w:t>BRCA1/2</w:t>
      </w:r>
      <w:r w:rsidRPr="00474EEB">
        <w:rPr>
          <w:iCs/>
          <w:szCs w:val="24"/>
          <w:lang w:eastAsia="en-GB"/>
        </w:rPr>
        <w:t xml:space="preserve"> pathogenic </w:t>
      </w:r>
      <w:r w:rsidR="00F97785">
        <w:t xml:space="preserve">gene </w:t>
      </w:r>
      <w:r w:rsidRPr="00474EEB">
        <w:t>variant</w:t>
      </w:r>
      <w:r w:rsidRPr="00474EEB">
        <w:rPr>
          <w:iCs/>
          <w:szCs w:val="24"/>
          <w:lang w:eastAsia="en-GB"/>
        </w:rPr>
        <w:t xml:space="preserve"> subgroup, the Commentary considered the exclusion of patients with the </w:t>
      </w:r>
      <w:r w:rsidRPr="00474EEB">
        <w:rPr>
          <w:i/>
          <w:iCs/>
          <w:szCs w:val="24"/>
          <w:lang w:eastAsia="en-GB"/>
        </w:rPr>
        <w:t>ATM</w:t>
      </w:r>
      <w:r w:rsidRPr="00474EEB">
        <w:rPr>
          <w:iCs/>
          <w:szCs w:val="24"/>
          <w:lang w:eastAsia="en-GB"/>
        </w:rPr>
        <w:t xml:space="preserve"> pathogenic </w:t>
      </w:r>
      <w:r w:rsidR="00F97785">
        <w:t xml:space="preserve">gene </w:t>
      </w:r>
      <w:r w:rsidRPr="00474EEB">
        <w:rPr>
          <w:iCs/>
          <w:szCs w:val="24"/>
          <w:lang w:eastAsia="en-GB"/>
        </w:rPr>
        <w:t>variant from the requested PBS/MSB listings was reasonable, however considered that this left open the question of whether to accept any variation in the extent of benefit from the estimate for the ITT population of Cohort A.</w:t>
      </w:r>
    </w:p>
    <w:p w14:paraId="7940CD4D" w14:textId="2D481F35" w:rsidR="00474EEB" w:rsidRPr="00474EEB" w:rsidRDefault="00474EEB" w:rsidP="007C2DC0">
      <w:pPr>
        <w:spacing w:before="240"/>
        <w:rPr>
          <w:rFonts w:eastAsia="Calibri" w:cs="Arial"/>
          <w:iCs/>
          <w:szCs w:val="22"/>
          <w:lang w:eastAsia="en-US"/>
        </w:rPr>
      </w:pPr>
      <w:r w:rsidRPr="00474EEB">
        <w:rPr>
          <w:rFonts w:eastAsia="Calibri" w:cs="Arial"/>
          <w:iCs/>
          <w:szCs w:val="22"/>
          <w:lang w:eastAsia="en-US"/>
        </w:rPr>
        <w:t>The proposed wording was similar to existing MBS items 73301/73295 in HGSOC and addresse</w:t>
      </w:r>
      <w:r w:rsidR="00976BE9">
        <w:rPr>
          <w:rFonts w:eastAsia="Calibri" w:cs="Arial"/>
          <w:iCs/>
          <w:szCs w:val="22"/>
          <w:lang w:eastAsia="en-US"/>
        </w:rPr>
        <w:t>d</w:t>
      </w:r>
      <w:r w:rsidRPr="00474EEB">
        <w:rPr>
          <w:rFonts w:eastAsia="Calibri" w:cs="Arial"/>
          <w:iCs/>
          <w:szCs w:val="22"/>
          <w:lang w:eastAsia="en-US"/>
        </w:rPr>
        <w:t xml:space="preserve"> the eligibility criteria for olaparib in </w:t>
      </w:r>
      <w:proofErr w:type="spellStart"/>
      <w:r w:rsidRPr="00474EEB">
        <w:rPr>
          <w:rFonts w:eastAsia="Calibri" w:cs="Arial"/>
          <w:iCs/>
          <w:szCs w:val="22"/>
          <w:lang w:eastAsia="en-US"/>
        </w:rPr>
        <w:t>mCRPC</w:t>
      </w:r>
      <w:proofErr w:type="spellEnd"/>
      <w:r w:rsidRPr="00474EEB">
        <w:rPr>
          <w:rFonts w:eastAsia="Calibri" w:cs="Arial"/>
          <w:iCs/>
          <w:szCs w:val="22"/>
          <w:lang w:eastAsia="en-US"/>
        </w:rPr>
        <w:t xml:space="preserve">. The submission </w:t>
      </w:r>
      <w:r w:rsidRPr="00474EEB">
        <w:t>considered</w:t>
      </w:r>
      <w:r w:rsidRPr="00474EEB">
        <w:rPr>
          <w:rFonts w:eastAsia="Calibri" w:cs="Arial"/>
          <w:iCs/>
          <w:szCs w:val="22"/>
          <w:lang w:eastAsia="en-US"/>
        </w:rPr>
        <w:t xml:space="preserve"> there would be an increase in utilisation of MBS item 73301 for tissue sample retrieval as consequence of the requested testing.</w:t>
      </w:r>
    </w:p>
    <w:p w14:paraId="16B37B83" w14:textId="24D7B418" w:rsidR="00474EEB" w:rsidRPr="00474EEB" w:rsidRDefault="00474EEB" w:rsidP="007C2DC0">
      <w:pPr>
        <w:spacing w:before="240"/>
        <w:rPr>
          <w:rFonts w:ascii="Arial Narrow" w:eastAsia="Calibri" w:hAnsi="Arial Narrow" w:cs="Arial"/>
          <w:b/>
          <w:iCs/>
          <w:noProof/>
          <w:sz w:val="20"/>
          <w:szCs w:val="18"/>
          <w:lang w:eastAsia="en-US"/>
        </w:rPr>
      </w:pPr>
      <w:r w:rsidRPr="00474EEB">
        <w:rPr>
          <w:rFonts w:eastAsia="Calibri" w:cs="Arial"/>
          <w:szCs w:val="22"/>
          <w:lang w:eastAsia="en-US"/>
        </w:rPr>
        <w:t xml:space="preserve">The submission also stated that existing MBS items 73302 and 73297 for germline testing in patients and cascade testing of unaffected family </w:t>
      </w:r>
      <w:r w:rsidRPr="00474EEB">
        <w:t>members</w:t>
      </w:r>
      <w:r w:rsidRPr="00474EEB">
        <w:rPr>
          <w:rFonts w:eastAsia="Calibri" w:cs="Arial"/>
          <w:szCs w:val="22"/>
          <w:lang w:eastAsia="en-US"/>
        </w:rPr>
        <w:t xml:space="preserve"> in the context of identified </w:t>
      </w:r>
      <w:r w:rsidRPr="00474EEB">
        <w:rPr>
          <w:rFonts w:eastAsia="Calibri" w:cs="Arial"/>
          <w:i/>
          <w:iCs/>
          <w:szCs w:val="22"/>
          <w:lang w:eastAsia="en-US"/>
        </w:rPr>
        <w:t>BRCA1/2</w:t>
      </w:r>
      <w:r w:rsidRPr="00474EEB">
        <w:rPr>
          <w:rFonts w:eastAsia="Calibri" w:cs="Arial"/>
          <w:szCs w:val="22"/>
          <w:lang w:eastAsia="en-US"/>
        </w:rPr>
        <w:t xml:space="preserve"> pathogenic </w:t>
      </w:r>
      <w:r w:rsidR="00F97785">
        <w:t xml:space="preserve">gene </w:t>
      </w:r>
      <w:r w:rsidRPr="00474EEB">
        <w:rPr>
          <w:rFonts w:eastAsia="Calibri" w:cs="Arial"/>
          <w:szCs w:val="22"/>
          <w:lang w:eastAsia="en-US"/>
        </w:rPr>
        <w:t>variants would not require amendment as they are tumour agnostic.</w:t>
      </w:r>
      <w:r w:rsidRPr="00474EEB">
        <w:rPr>
          <w:rFonts w:eastAsia="Calibri" w:cs="Arial"/>
          <w:i/>
          <w:szCs w:val="22"/>
          <w:lang w:eastAsia="en-US"/>
        </w:rPr>
        <w:t xml:space="preserve"> </w:t>
      </w:r>
      <w:r w:rsidRPr="00474EEB">
        <w:rPr>
          <w:rFonts w:eastAsia="Calibri" w:cs="Arial"/>
          <w:szCs w:val="22"/>
          <w:lang w:eastAsia="en-US"/>
        </w:rPr>
        <w:t xml:space="preserve">These MBS item descriptors are provided in </w:t>
      </w:r>
      <w:r w:rsidRPr="00474EEB">
        <w:rPr>
          <w:rFonts w:eastAsia="Calibri" w:cs="Arial"/>
          <w:szCs w:val="22"/>
          <w:lang w:eastAsia="en-US"/>
        </w:rPr>
        <w:fldChar w:fldCharType="begin"/>
      </w:r>
      <w:r w:rsidRPr="00474EEB">
        <w:rPr>
          <w:rFonts w:eastAsia="Calibri" w:cs="Arial"/>
          <w:szCs w:val="22"/>
          <w:lang w:eastAsia="en-US"/>
        </w:rPr>
        <w:instrText xml:space="preserve"> REF _Ref62204497 \h </w:instrText>
      </w:r>
      <w:r w:rsidR="006C2E0B">
        <w:rPr>
          <w:rFonts w:eastAsia="Calibri" w:cs="Arial"/>
          <w:szCs w:val="22"/>
          <w:lang w:eastAsia="en-US"/>
        </w:rPr>
        <w:instrText xml:space="preserve"> \* MERGEFORMAT </w:instrText>
      </w:r>
      <w:r w:rsidRPr="00474EEB">
        <w:rPr>
          <w:rFonts w:eastAsia="Calibri" w:cs="Arial"/>
          <w:szCs w:val="22"/>
          <w:lang w:eastAsia="en-US"/>
        </w:rPr>
      </w:r>
      <w:r w:rsidRPr="00474EEB">
        <w:rPr>
          <w:rFonts w:eastAsia="Calibri" w:cs="Arial"/>
          <w:szCs w:val="22"/>
          <w:lang w:eastAsia="en-US"/>
        </w:rPr>
        <w:fldChar w:fldCharType="separate"/>
      </w:r>
      <w:r w:rsidR="006C2E0B" w:rsidRPr="006C2E0B">
        <w:rPr>
          <w:rFonts w:eastAsia="Calibri" w:cs="Arial"/>
          <w:szCs w:val="22"/>
          <w:lang w:eastAsia="en-US"/>
        </w:rPr>
        <w:t>Table 3</w:t>
      </w:r>
      <w:r w:rsidRPr="00474EEB">
        <w:rPr>
          <w:rFonts w:eastAsia="Calibri" w:cs="Arial"/>
          <w:szCs w:val="22"/>
          <w:lang w:eastAsia="en-US"/>
        </w:rPr>
        <w:fldChar w:fldCharType="end"/>
      </w:r>
      <w:r w:rsidRPr="00474EEB">
        <w:rPr>
          <w:rFonts w:eastAsia="Calibri" w:cs="Arial"/>
          <w:szCs w:val="22"/>
          <w:lang w:eastAsia="en-US"/>
        </w:rPr>
        <w:t xml:space="preserve"> for reference.</w:t>
      </w:r>
    </w:p>
    <w:p w14:paraId="5E9C5586" w14:textId="203E6400" w:rsidR="00474EEB" w:rsidRPr="00474EEB" w:rsidRDefault="00474EEB" w:rsidP="007C2DC0">
      <w:pPr>
        <w:keepNext/>
        <w:spacing w:before="240" w:after="40"/>
        <w:jc w:val="both"/>
        <w:outlineLvl w:val="4"/>
        <w:rPr>
          <w:rFonts w:ascii="Arial Narrow" w:hAnsi="Arial Narrow" w:cs="Arial"/>
          <w:b/>
          <w:bCs/>
          <w:iCs/>
          <w:sz w:val="20"/>
          <w:lang w:eastAsia="en-US"/>
        </w:rPr>
      </w:pPr>
      <w:bookmarkStart w:id="3" w:name="_Ref62204497"/>
      <w:r w:rsidRPr="00474EEB">
        <w:rPr>
          <w:rFonts w:ascii="Arial Narrow" w:hAnsi="Arial Narrow" w:cs="Arial"/>
          <w:b/>
          <w:bCs/>
          <w:iCs/>
          <w:sz w:val="20"/>
          <w:lang w:eastAsia="en-US"/>
        </w:rPr>
        <w:t xml:space="preserve">Table </w:t>
      </w:r>
      <w:r w:rsidRPr="00474EEB">
        <w:rPr>
          <w:rFonts w:ascii="Arial Narrow" w:hAnsi="Arial Narrow" w:cs="Arial"/>
          <w:b/>
          <w:bCs/>
          <w:iCs/>
          <w:sz w:val="20"/>
          <w:lang w:eastAsia="en-US"/>
        </w:rPr>
        <w:fldChar w:fldCharType="begin"/>
      </w:r>
      <w:r w:rsidRPr="00474EEB">
        <w:rPr>
          <w:rFonts w:ascii="Arial Narrow" w:hAnsi="Arial Narrow" w:cs="Arial"/>
          <w:b/>
          <w:bCs/>
          <w:iCs/>
          <w:sz w:val="20"/>
          <w:lang w:eastAsia="en-US"/>
        </w:rPr>
        <w:instrText xml:space="preserve"> SEQ Table \* ARABIC </w:instrText>
      </w:r>
      <w:r w:rsidRPr="00474EEB">
        <w:rPr>
          <w:rFonts w:ascii="Arial Narrow" w:hAnsi="Arial Narrow" w:cs="Arial"/>
          <w:b/>
          <w:bCs/>
          <w:iCs/>
          <w:sz w:val="20"/>
          <w:lang w:eastAsia="en-US"/>
        </w:rPr>
        <w:fldChar w:fldCharType="separate"/>
      </w:r>
      <w:r w:rsidR="006C2E0B">
        <w:rPr>
          <w:rFonts w:ascii="Arial Narrow" w:hAnsi="Arial Narrow" w:cs="Arial"/>
          <w:b/>
          <w:bCs/>
          <w:iCs/>
          <w:noProof/>
          <w:sz w:val="20"/>
          <w:lang w:eastAsia="en-US"/>
        </w:rPr>
        <w:t>3</w:t>
      </w:r>
      <w:r w:rsidRPr="00474EEB">
        <w:rPr>
          <w:rFonts w:ascii="Arial Narrow" w:hAnsi="Arial Narrow" w:cs="Arial"/>
          <w:b/>
          <w:bCs/>
          <w:iCs/>
          <w:noProof/>
          <w:sz w:val="20"/>
          <w:lang w:eastAsia="en-US"/>
        </w:rPr>
        <w:fldChar w:fldCharType="end"/>
      </w:r>
      <w:bookmarkEnd w:id="3"/>
      <w:r w:rsidRPr="00474EEB">
        <w:rPr>
          <w:rFonts w:ascii="Arial Narrow" w:hAnsi="Arial Narrow" w:cs="Arial"/>
          <w:b/>
          <w:bCs/>
          <w:iCs/>
          <w:sz w:val="20"/>
          <w:lang w:eastAsia="en-US"/>
        </w:rPr>
        <w:tab/>
        <w:t>Existing MBS items for germline/cascade testing</w:t>
      </w:r>
    </w:p>
    <w:tbl>
      <w:tblPr>
        <w:tblStyle w:val="TableGrid11"/>
        <w:tblW w:w="5000" w:type="pct"/>
        <w:tblLook w:val="04A0" w:firstRow="1" w:lastRow="0" w:firstColumn="1" w:lastColumn="0" w:noHBand="0" w:noVBand="1"/>
        <w:tblDescription w:val="Existing MBS items for germline/cascade testing"/>
      </w:tblPr>
      <w:tblGrid>
        <w:gridCol w:w="9016"/>
      </w:tblGrid>
      <w:tr w:rsidR="00474EEB" w:rsidRPr="00474EEB" w14:paraId="7A971435" w14:textId="77777777" w:rsidTr="00360CB8">
        <w:trPr>
          <w:tblHeader/>
        </w:trPr>
        <w:tc>
          <w:tcPr>
            <w:tcW w:w="5000" w:type="pct"/>
          </w:tcPr>
          <w:p w14:paraId="2E89E15A" w14:textId="77777777" w:rsidR="00474EEB" w:rsidRPr="00474EEB" w:rsidRDefault="00474EEB" w:rsidP="00474EEB">
            <w:pPr>
              <w:widowControl w:val="0"/>
              <w:spacing w:before="40" w:after="40" w:line="256" w:lineRule="auto"/>
              <w:rPr>
                <w:rFonts w:ascii="Arial Narrow" w:hAnsi="Arial Narrow"/>
                <w:sz w:val="20"/>
                <w:szCs w:val="24"/>
                <w:lang w:eastAsia="en-GB"/>
              </w:rPr>
            </w:pPr>
            <w:r w:rsidRPr="00474EEB">
              <w:rPr>
                <w:rFonts w:ascii="Arial Narrow" w:hAnsi="Arial Narrow"/>
                <w:sz w:val="20"/>
                <w:szCs w:val="24"/>
                <w:lang w:eastAsia="en-GB"/>
              </w:rPr>
              <w:t>Category 6 – Pathology Services</w:t>
            </w:r>
          </w:p>
        </w:tc>
      </w:tr>
      <w:tr w:rsidR="00474EEB" w:rsidRPr="00474EEB" w14:paraId="36155CC2" w14:textId="77777777" w:rsidTr="00360CB8">
        <w:tc>
          <w:tcPr>
            <w:tcW w:w="5000" w:type="pct"/>
          </w:tcPr>
          <w:p w14:paraId="10EF1F48" w14:textId="77777777" w:rsidR="00474EEB" w:rsidRPr="00474EEB" w:rsidRDefault="00474EEB" w:rsidP="00474EEB">
            <w:pPr>
              <w:widowControl w:val="0"/>
              <w:tabs>
                <w:tab w:val="left" w:pos="7110"/>
              </w:tabs>
              <w:spacing w:before="40" w:after="40" w:line="256" w:lineRule="auto"/>
              <w:rPr>
                <w:rFonts w:ascii="Arial Narrow" w:hAnsi="Arial Narrow"/>
                <w:sz w:val="20"/>
                <w:szCs w:val="24"/>
                <w:lang w:eastAsia="en-GB"/>
              </w:rPr>
            </w:pPr>
            <w:r w:rsidRPr="00474EEB">
              <w:rPr>
                <w:rFonts w:ascii="Arial Narrow" w:hAnsi="Arial Narrow"/>
                <w:sz w:val="20"/>
                <w:szCs w:val="24"/>
                <w:lang w:eastAsia="en-GB"/>
              </w:rPr>
              <w:t>MBS item 73302 (no change required)</w:t>
            </w:r>
            <w:r w:rsidRPr="00474EEB">
              <w:rPr>
                <w:rFonts w:ascii="Arial Narrow" w:hAnsi="Arial Narrow"/>
                <w:sz w:val="20"/>
                <w:szCs w:val="24"/>
                <w:lang w:eastAsia="en-GB"/>
              </w:rPr>
              <w:tab/>
              <w:t>Group P7 - Genetics</w:t>
            </w:r>
          </w:p>
          <w:p w14:paraId="408FC188" w14:textId="77777777" w:rsidR="00474EEB" w:rsidRPr="00474EEB" w:rsidRDefault="00474EEB" w:rsidP="00474EEB">
            <w:pPr>
              <w:widowControl w:val="0"/>
              <w:spacing w:before="40" w:after="40" w:line="256" w:lineRule="auto"/>
              <w:rPr>
                <w:rFonts w:ascii="Arial Narrow" w:hAnsi="Arial Narrow"/>
                <w:sz w:val="20"/>
                <w:szCs w:val="24"/>
                <w:lang w:eastAsia="en-GB"/>
              </w:rPr>
            </w:pPr>
            <w:r w:rsidRPr="00474EEB">
              <w:rPr>
                <w:rFonts w:ascii="Arial Narrow" w:hAnsi="Arial Narrow"/>
                <w:sz w:val="20"/>
                <w:szCs w:val="24"/>
                <w:lang w:eastAsia="en-GB"/>
              </w:rPr>
              <w:t xml:space="preserve">Characterisation of germline gene variants including copy number variants, in </w:t>
            </w:r>
            <w:r w:rsidRPr="00474EEB">
              <w:rPr>
                <w:rFonts w:ascii="Arial Narrow" w:hAnsi="Arial Narrow"/>
                <w:iCs/>
                <w:sz w:val="20"/>
                <w:szCs w:val="24"/>
                <w:lang w:eastAsia="en-GB"/>
              </w:rPr>
              <w:t>BRCA1</w:t>
            </w:r>
            <w:r w:rsidRPr="00474EEB">
              <w:rPr>
                <w:rFonts w:ascii="Arial Narrow" w:hAnsi="Arial Narrow"/>
                <w:sz w:val="20"/>
                <w:szCs w:val="24"/>
                <w:lang w:eastAsia="en-GB"/>
              </w:rPr>
              <w:t xml:space="preserve"> or </w:t>
            </w:r>
            <w:r w:rsidRPr="00474EEB">
              <w:rPr>
                <w:rFonts w:ascii="Arial Narrow" w:hAnsi="Arial Narrow"/>
                <w:iCs/>
                <w:sz w:val="20"/>
                <w:szCs w:val="24"/>
                <w:lang w:eastAsia="en-GB"/>
              </w:rPr>
              <w:t>BRCA2</w:t>
            </w:r>
            <w:r w:rsidRPr="00474EEB">
              <w:rPr>
                <w:rFonts w:ascii="Arial Narrow" w:hAnsi="Arial Narrow"/>
                <w:sz w:val="20"/>
                <w:szCs w:val="24"/>
                <w:lang w:eastAsia="en-GB"/>
              </w:rPr>
              <w:t xml:space="preserve"> genes, in a patient who has a pathogenic or likely pathogenic variant identified in either gene by tumour testing and who has not received a service to which items 73295, 73296, 73297 applies, requested by a specialist or a consultant physician.</w:t>
            </w:r>
          </w:p>
          <w:p w14:paraId="660056F8" w14:textId="77777777" w:rsidR="00474EEB" w:rsidRPr="00474EEB" w:rsidRDefault="00474EEB" w:rsidP="00474EEB">
            <w:pPr>
              <w:widowControl w:val="0"/>
              <w:spacing w:before="40" w:after="40" w:line="256" w:lineRule="auto"/>
              <w:rPr>
                <w:rFonts w:ascii="Arial Narrow" w:hAnsi="Arial Narrow"/>
                <w:sz w:val="20"/>
                <w:szCs w:val="24"/>
                <w:lang w:eastAsia="en-GB"/>
              </w:rPr>
            </w:pPr>
            <w:r w:rsidRPr="00474EEB">
              <w:rPr>
                <w:rFonts w:ascii="Arial Narrow" w:hAnsi="Arial Narrow"/>
                <w:sz w:val="20"/>
                <w:szCs w:val="24"/>
                <w:lang w:eastAsia="en-GB"/>
              </w:rPr>
              <w:t>Applicable once per primary tumour diagnosis</w:t>
            </w:r>
          </w:p>
        </w:tc>
      </w:tr>
      <w:tr w:rsidR="00474EEB" w:rsidRPr="00474EEB" w14:paraId="10FBD963" w14:textId="77777777" w:rsidTr="00360CB8">
        <w:tc>
          <w:tcPr>
            <w:tcW w:w="5000" w:type="pct"/>
          </w:tcPr>
          <w:p w14:paraId="6C945132" w14:textId="77777777" w:rsidR="00474EEB" w:rsidRPr="00474EEB" w:rsidRDefault="00474EEB" w:rsidP="00474EEB">
            <w:pPr>
              <w:widowControl w:val="0"/>
              <w:spacing w:before="40" w:after="40" w:line="256" w:lineRule="auto"/>
              <w:rPr>
                <w:rFonts w:ascii="Arial Narrow" w:hAnsi="Arial Narrow"/>
                <w:sz w:val="20"/>
                <w:szCs w:val="24"/>
                <w:lang w:eastAsia="en-GB"/>
              </w:rPr>
            </w:pPr>
            <w:r w:rsidRPr="00474EEB">
              <w:rPr>
                <w:rFonts w:ascii="Arial Narrow" w:hAnsi="Arial Narrow"/>
                <w:sz w:val="20"/>
                <w:szCs w:val="24"/>
                <w:lang w:eastAsia="en-GB"/>
              </w:rPr>
              <w:t>Fee: $400.00 Benefit : 75% = $300.00 85% = $340.00</w:t>
            </w:r>
          </w:p>
        </w:tc>
      </w:tr>
      <w:tr w:rsidR="00474EEB" w:rsidRPr="00474EEB" w14:paraId="382F7DAA" w14:textId="77777777" w:rsidTr="00360CB8">
        <w:tc>
          <w:tcPr>
            <w:tcW w:w="5000" w:type="pct"/>
          </w:tcPr>
          <w:p w14:paraId="28CF65EF" w14:textId="77777777" w:rsidR="00474EEB" w:rsidRPr="00474EEB" w:rsidRDefault="00474EEB" w:rsidP="00474EEB">
            <w:pPr>
              <w:widowControl w:val="0"/>
              <w:spacing w:before="40" w:after="40" w:line="256" w:lineRule="auto"/>
              <w:rPr>
                <w:rFonts w:ascii="Arial Narrow" w:hAnsi="Arial Narrow"/>
                <w:sz w:val="20"/>
                <w:szCs w:val="24"/>
                <w:lang w:eastAsia="en-GB"/>
              </w:rPr>
            </w:pPr>
            <w:r w:rsidRPr="00474EEB">
              <w:rPr>
                <w:rFonts w:ascii="Arial Narrow" w:hAnsi="Arial Narrow"/>
                <w:sz w:val="20"/>
                <w:szCs w:val="24"/>
                <w:lang w:eastAsia="en-GB"/>
              </w:rPr>
              <w:t>MBS item 73297 (no change required)</w:t>
            </w:r>
          </w:p>
          <w:p w14:paraId="378659CA" w14:textId="77777777" w:rsidR="00474EEB" w:rsidRPr="00474EEB" w:rsidRDefault="00474EEB" w:rsidP="00474EEB">
            <w:pPr>
              <w:spacing w:before="120" w:after="160"/>
              <w:jc w:val="both"/>
              <w:rPr>
                <w:rFonts w:ascii="Calibri" w:hAnsi="Calibri"/>
                <w:szCs w:val="24"/>
                <w:lang w:eastAsia="en-GB"/>
              </w:rPr>
            </w:pPr>
            <w:r w:rsidRPr="00474EEB">
              <w:rPr>
                <w:rFonts w:ascii="Arial Narrow" w:hAnsi="Arial Narrow"/>
                <w:sz w:val="20"/>
                <w:szCs w:val="24"/>
                <w:lang w:eastAsia="en-GB"/>
              </w:rPr>
              <w:t>Characterisation of germline gene mutations, requested by a specialist or consultant physician, including copy number variation in BRCA1 and BRCA2 genes and one or more of the following genes STK11, PTEN, CDH1, PALB2, or TP53 in a patient who is a biological relative of a patient who has had a pathogenic mutation identified in one or more of the genes specified above, and has not previously received a service under item 73296.</w:t>
            </w:r>
          </w:p>
        </w:tc>
      </w:tr>
      <w:tr w:rsidR="00474EEB" w:rsidRPr="00474EEB" w14:paraId="161400DB" w14:textId="77777777" w:rsidTr="00360CB8">
        <w:tc>
          <w:tcPr>
            <w:tcW w:w="5000" w:type="pct"/>
          </w:tcPr>
          <w:p w14:paraId="10F4B016" w14:textId="77777777" w:rsidR="00474EEB" w:rsidRPr="00474EEB" w:rsidRDefault="00474EEB" w:rsidP="00474EEB">
            <w:pPr>
              <w:widowControl w:val="0"/>
              <w:spacing w:before="40" w:after="40" w:line="256" w:lineRule="auto"/>
              <w:rPr>
                <w:rFonts w:ascii="Arial Narrow" w:hAnsi="Arial Narrow"/>
                <w:sz w:val="20"/>
                <w:szCs w:val="24"/>
                <w:lang w:eastAsia="en-GB"/>
              </w:rPr>
            </w:pPr>
            <w:r w:rsidRPr="00474EEB">
              <w:rPr>
                <w:rFonts w:ascii="Arial Narrow" w:hAnsi="Arial Narrow"/>
                <w:sz w:val="20"/>
                <w:szCs w:val="24"/>
                <w:lang w:eastAsia="en-GB"/>
              </w:rPr>
              <w:t>Fee: $400.00 Benefit: 75% = $300.00 85% = $340.00</w:t>
            </w:r>
          </w:p>
        </w:tc>
      </w:tr>
    </w:tbl>
    <w:p w14:paraId="18718244" w14:textId="77777777" w:rsidR="00474EEB" w:rsidRPr="00474EEB" w:rsidRDefault="00474EEB" w:rsidP="00474EEB">
      <w:pPr>
        <w:spacing w:after="160"/>
        <w:jc w:val="both"/>
        <w:rPr>
          <w:rFonts w:ascii="Arial Narrow" w:hAnsi="Arial Narrow"/>
          <w:sz w:val="18"/>
          <w:szCs w:val="18"/>
          <w:lang w:eastAsia="en-GB"/>
        </w:rPr>
      </w:pPr>
      <w:r w:rsidRPr="00474EEB">
        <w:rPr>
          <w:rFonts w:ascii="Arial Narrow" w:hAnsi="Arial Narrow"/>
          <w:sz w:val="18"/>
          <w:szCs w:val="18"/>
          <w:lang w:eastAsia="en-GB"/>
        </w:rPr>
        <w:t>Source: Table 1-7, p44 of the submission.</w:t>
      </w:r>
    </w:p>
    <w:p w14:paraId="559F20BA" w14:textId="77777777" w:rsidR="00BC1364" w:rsidRPr="00474EEB" w:rsidRDefault="00474EEB" w:rsidP="00474EEB">
      <w:pPr>
        <w:rPr>
          <w:rFonts w:eastAsia="Calibri" w:cs="Arial"/>
          <w:szCs w:val="22"/>
          <w:lang w:eastAsia="en-US"/>
        </w:rPr>
      </w:pPr>
      <w:r w:rsidRPr="00474EEB">
        <w:rPr>
          <w:rFonts w:eastAsia="Calibri" w:cs="Arial"/>
          <w:iCs/>
          <w:szCs w:val="22"/>
          <w:lang w:eastAsia="en-US"/>
        </w:rPr>
        <w:t xml:space="preserve">PASC advised that related MBS items would need to be developed or amended for the associated consequential germline and cascade testing (p21, </w:t>
      </w:r>
      <w:hyperlink r:id="rId27" w:history="1">
        <w:r w:rsidRPr="00474EEB">
          <w:rPr>
            <w:rFonts w:eastAsia="Calibri" w:cs="Arial"/>
            <w:iCs/>
            <w:color w:val="0000FF"/>
            <w:szCs w:val="22"/>
            <w:u w:val="single"/>
            <w:lang w:eastAsia="en-US"/>
          </w:rPr>
          <w:t>Ratified PICO</w:t>
        </w:r>
      </w:hyperlink>
      <w:r w:rsidRPr="00474EEB">
        <w:rPr>
          <w:rFonts w:eastAsia="Calibri" w:cs="Arial"/>
          <w:iCs/>
          <w:szCs w:val="22"/>
          <w:lang w:eastAsia="en-US"/>
        </w:rPr>
        <w:t xml:space="preserve">) when the proposed test included </w:t>
      </w:r>
      <w:r w:rsidRPr="00474EEB">
        <w:rPr>
          <w:rFonts w:eastAsia="Calibri" w:cs="Arial"/>
          <w:i/>
          <w:iCs/>
          <w:szCs w:val="22"/>
          <w:lang w:eastAsia="en-US"/>
        </w:rPr>
        <w:t>ATM</w:t>
      </w:r>
      <w:r w:rsidRPr="00474EEB">
        <w:rPr>
          <w:rFonts w:eastAsia="Calibri" w:cs="Arial"/>
          <w:iCs/>
          <w:szCs w:val="22"/>
          <w:lang w:eastAsia="en-US"/>
        </w:rPr>
        <w:t xml:space="preserve"> gene variants.</w:t>
      </w:r>
      <w:r w:rsidRPr="00474EEB">
        <w:rPr>
          <w:rFonts w:eastAsia="Calibri" w:cs="Arial"/>
          <w:szCs w:val="22"/>
          <w:lang w:eastAsia="en-US"/>
        </w:rPr>
        <w:t xml:space="preserve"> MBS items </w:t>
      </w:r>
      <w:r w:rsidRPr="00474EEB">
        <w:rPr>
          <w:rFonts w:eastAsia="Calibri" w:cs="Arial"/>
          <w:iCs/>
          <w:szCs w:val="22"/>
          <w:lang w:eastAsia="en-US"/>
        </w:rPr>
        <w:t xml:space="preserve">73302 and 73297 are not specific to a tumour site. MBS item 73297 for cascade testing was intended for biological relatives of patients with breast, ovarian, fallopian tube or primary peritoneal cancer with pathogenic variants in the following genes: </w:t>
      </w:r>
      <w:r w:rsidRPr="00474EEB">
        <w:rPr>
          <w:rFonts w:eastAsia="Calibri" w:cs="Arial"/>
          <w:i/>
          <w:iCs/>
          <w:szCs w:val="22"/>
          <w:lang w:eastAsia="en-US"/>
        </w:rPr>
        <w:t>BRCA1/2</w:t>
      </w:r>
      <w:r w:rsidRPr="00474EEB">
        <w:rPr>
          <w:rFonts w:eastAsia="Calibri" w:cs="Arial"/>
          <w:iCs/>
          <w:szCs w:val="22"/>
          <w:lang w:eastAsia="en-US"/>
        </w:rPr>
        <w:t xml:space="preserve">, </w:t>
      </w:r>
      <w:r w:rsidRPr="00474EEB">
        <w:rPr>
          <w:rFonts w:eastAsia="Calibri" w:cs="Arial"/>
          <w:i/>
          <w:iCs/>
          <w:szCs w:val="22"/>
          <w:lang w:eastAsia="en-US"/>
        </w:rPr>
        <w:t>STK11, PTEN, CDH1, PALB2</w:t>
      </w:r>
      <w:r w:rsidRPr="00474EEB">
        <w:rPr>
          <w:rFonts w:eastAsia="Calibri" w:cs="Arial"/>
          <w:iCs/>
          <w:szCs w:val="22"/>
          <w:lang w:eastAsia="en-US"/>
        </w:rPr>
        <w:t xml:space="preserve"> or </w:t>
      </w:r>
      <w:r w:rsidRPr="00474EEB">
        <w:rPr>
          <w:rFonts w:eastAsia="Calibri" w:cs="Arial"/>
          <w:i/>
          <w:iCs/>
          <w:szCs w:val="22"/>
          <w:lang w:eastAsia="en-US"/>
        </w:rPr>
        <w:t>TP53</w:t>
      </w:r>
      <w:r w:rsidRPr="00474EEB">
        <w:rPr>
          <w:rFonts w:eastAsia="Calibri" w:cs="Arial"/>
          <w:iCs/>
          <w:szCs w:val="22"/>
          <w:lang w:eastAsia="en-US"/>
        </w:rPr>
        <w:t xml:space="preserve">. The item descriptor requires testing of </w:t>
      </w:r>
      <w:r w:rsidRPr="00474EEB">
        <w:rPr>
          <w:rFonts w:eastAsia="Calibri" w:cs="Arial"/>
          <w:i/>
          <w:iCs/>
          <w:szCs w:val="22"/>
          <w:lang w:eastAsia="en-US"/>
        </w:rPr>
        <w:t>BRCA1/2</w:t>
      </w:r>
      <w:r w:rsidRPr="00474EEB">
        <w:rPr>
          <w:rFonts w:eastAsia="Calibri" w:cs="Arial"/>
          <w:iCs/>
          <w:szCs w:val="22"/>
          <w:lang w:eastAsia="en-US"/>
        </w:rPr>
        <w:t xml:space="preserve"> and at least one of the aforementioned genes which may not be appropriate for the proposed population.</w:t>
      </w:r>
      <w:r w:rsidRPr="00474EEB">
        <w:rPr>
          <w:rFonts w:eastAsia="Calibri" w:cs="Arial"/>
          <w:szCs w:val="22"/>
          <w:lang w:eastAsia="en-US"/>
        </w:rPr>
        <w:t xml:space="preserve"> As the submission did not consider the health outcome or cost consequences of the proposed testing in prostate cancer to these MBS services or the new patients who would access them, </w:t>
      </w:r>
      <w:r w:rsidRPr="00474EEB">
        <w:rPr>
          <w:rFonts w:eastAsia="Calibri" w:cs="Arial"/>
          <w:iCs/>
          <w:szCs w:val="22"/>
          <w:lang w:eastAsia="en-US"/>
        </w:rPr>
        <w:t>MSAC should advise whether these two MBS item descriptors need to be modified to prevent these unknown flow-on consequences. For example, there is no evidentiary basis provided to even judge how the likelihood of a patient having inherited the variant or of a family member having the variant might vary depending on whether the trigger for this flow-on testing comes from a patient with prostate cancer or with ovarian cancer</w:t>
      </w:r>
      <w:r w:rsidRPr="00474EEB">
        <w:rPr>
          <w:rFonts w:eastAsia="Calibri" w:cs="Arial"/>
          <w:szCs w:val="22"/>
          <w:lang w:eastAsia="en-US"/>
        </w:rPr>
        <w:t>.</w:t>
      </w:r>
    </w:p>
    <w:p w14:paraId="54B757FC" w14:textId="79E228EC" w:rsidR="00BC1364" w:rsidRPr="00F715D1" w:rsidRDefault="00BC1364" w:rsidP="00F715D1">
      <w:pPr>
        <w:pStyle w:val="Heading1"/>
      </w:pPr>
      <w:r w:rsidRPr="00F715D1">
        <w:lastRenderedPageBreak/>
        <w:t xml:space="preserve">Summary of </w:t>
      </w:r>
      <w:r w:rsidR="00C06B0B">
        <w:t>public c</w:t>
      </w:r>
      <w:r w:rsidR="003D7F29" w:rsidRPr="00F715D1">
        <w:t>onsultation</w:t>
      </w:r>
      <w:r w:rsidR="00C06B0B">
        <w:t xml:space="preserve"> f</w:t>
      </w:r>
      <w:r w:rsidRPr="00F715D1">
        <w:t>eedback</w:t>
      </w:r>
      <w:r w:rsidR="00C06B0B">
        <w:t>/c</w:t>
      </w:r>
      <w:r w:rsidR="003D7F29" w:rsidRPr="00F715D1">
        <w:t xml:space="preserve">onsumer </w:t>
      </w:r>
      <w:r w:rsidR="00980FC1" w:rsidRPr="00F715D1">
        <w:t>i</w:t>
      </w:r>
      <w:r w:rsidR="003D7F29" w:rsidRPr="00F715D1">
        <w:t>ssues</w:t>
      </w:r>
    </w:p>
    <w:p w14:paraId="18B74547" w14:textId="5F05C61D" w:rsidR="00474EEB" w:rsidRPr="00D3430D" w:rsidRDefault="0054037B" w:rsidP="00474EEB">
      <w:pPr>
        <w:rPr>
          <w:rFonts w:eastAsia="Calibri" w:cs="Arial"/>
          <w:iCs/>
          <w:szCs w:val="22"/>
          <w:lang w:eastAsia="en-US"/>
        </w:rPr>
      </w:pPr>
      <w:r>
        <w:rPr>
          <w:rFonts w:eastAsia="Calibri" w:cs="Arial"/>
          <w:iCs/>
          <w:szCs w:val="22"/>
          <w:lang w:eastAsia="en-US"/>
        </w:rPr>
        <w:t>Four targeted consultation responses were received</w:t>
      </w:r>
      <w:r w:rsidR="00E31971">
        <w:rPr>
          <w:rFonts w:eastAsia="Calibri" w:cs="Arial"/>
          <w:iCs/>
          <w:szCs w:val="22"/>
          <w:lang w:eastAsia="en-US"/>
        </w:rPr>
        <w:t>;</w:t>
      </w:r>
      <w:r w:rsidRPr="0054037B">
        <w:rPr>
          <w:rFonts w:eastAsia="Calibri" w:cs="Arial"/>
          <w:iCs/>
          <w:szCs w:val="22"/>
          <w:lang w:eastAsia="en-US"/>
        </w:rPr>
        <w:t xml:space="preserve"> one </w:t>
      </w:r>
      <w:r w:rsidR="00E31971">
        <w:rPr>
          <w:rFonts w:eastAsia="Calibri" w:cs="Arial"/>
          <w:iCs/>
          <w:szCs w:val="22"/>
          <w:lang w:eastAsia="en-US"/>
        </w:rPr>
        <w:t xml:space="preserve">from a </w:t>
      </w:r>
      <w:r>
        <w:rPr>
          <w:rFonts w:eastAsia="Calibri" w:cs="Arial"/>
          <w:iCs/>
          <w:szCs w:val="22"/>
          <w:lang w:eastAsia="en-US"/>
        </w:rPr>
        <w:t>pathology</w:t>
      </w:r>
      <w:r w:rsidRPr="0054037B">
        <w:rPr>
          <w:rFonts w:eastAsia="Calibri" w:cs="Arial"/>
          <w:iCs/>
          <w:szCs w:val="22"/>
          <w:lang w:eastAsia="en-US"/>
        </w:rPr>
        <w:t xml:space="preserve"> professional organisation, one from a </w:t>
      </w:r>
      <w:r>
        <w:rPr>
          <w:rFonts w:eastAsia="Calibri" w:cs="Arial"/>
          <w:iCs/>
          <w:szCs w:val="22"/>
          <w:lang w:eastAsia="en-US"/>
        </w:rPr>
        <w:t xml:space="preserve">pathology provider, and two from consumer groups. The consultation feedback was generally supportive. </w:t>
      </w:r>
      <w:r w:rsidR="00474EEB" w:rsidRPr="00D3430D">
        <w:rPr>
          <w:rFonts w:eastAsia="Calibri" w:cs="Arial"/>
          <w:iCs/>
          <w:szCs w:val="22"/>
          <w:lang w:eastAsia="en-US"/>
        </w:rPr>
        <w:t>The following feedback points were identified in the public consultation:</w:t>
      </w:r>
    </w:p>
    <w:p w14:paraId="1A7D0ECD" w14:textId="44A24E2B" w:rsidR="00474EEB" w:rsidRPr="00D3430D" w:rsidRDefault="0054037B" w:rsidP="00474EEB">
      <w:pPr>
        <w:numPr>
          <w:ilvl w:val="0"/>
          <w:numId w:val="28"/>
        </w:numPr>
        <w:spacing w:after="120"/>
        <w:contextualSpacing/>
        <w:rPr>
          <w:rFonts w:eastAsia="Calibri" w:cs="Arial"/>
          <w:iCs/>
          <w:szCs w:val="22"/>
          <w:lang w:eastAsia="en-US"/>
        </w:rPr>
      </w:pPr>
      <w:r>
        <w:rPr>
          <w:rFonts w:eastAsia="Calibri" w:cs="Arial"/>
          <w:iCs/>
          <w:szCs w:val="22"/>
          <w:lang w:eastAsia="en-US"/>
        </w:rPr>
        <w:t xml:space="preserve">The </w:t>
      </w:r>
      <w:r w:rsidR="00474EEB" w:rsidRPr="00D3430D">
        <w:rPr>
          <w:rFonts w:eastAsia="Calibri" w:cs="Arial"/>
          <w:iCs/>
          <w:szCs w:val="22"/>
          <w:lang w:eastAsia="en-US"/>
        </w:rPr>
        <w:t xml:space="preserve">feedback from a pathology provider indicating that archival specimens may not be the most appropriate tissue to test because somatic alterations may be acquired only in the metastatic setting such that by testing a primary tumour a treatable metastatic tumour may be missed, and </w:t>
      </w:r>
      <w:r w:rsidR="00474EEB" w:rsidRPr="00D3430D">
        <w:rPr>
          <w:rFonts w:eastAsia="Calibri" w:cs="Arial"/>
          <w:i/>
          <w:iCs/>
          <w:szCs w:val="22"/>
          <w:lang w:eastAsia="en-US"/>
        </w:rPr>
        <w:t xml:space="preserve">BRCA2 </w:t>
      </w:r>
      <w:r w:rsidR="00474EEB" w:rsidRPr="00D3430D">
        <w:rPr>
          <w:rFonts w:eastAsia="Calibri" w:cs="Arial"/>
          <w:iCs/>
          <w:szCs w:val="22"/>
          <w:lang w:eastAsia="en-US"/>
        </w:rPr>
        <w:t xml:space="preserve">reversion </w:t>
      </w:r>
      <w:r w:rsidR="00925766">
        <w:rPr>
          <w:rFonts w:eastAsia="Calibri" w:cs="Arial"/>
          <w:iCs/>
          <w:szCs w:val="22"/>
          <w:lang w:eastAsia="en-US"/>
        </w:rPr>
        <w:t>variant</w:t>
      </w:r>
      <w:r w:rsidR="00925766" w:rsidRPr="00D3430D">
        <w:rPr>
          <w:rFonts w:eastAsia="Calibri" w:cs="Arial"/>
          <w:iCs/>
          <w:szCs w:val="22"/>
          <w:lang w:eastAsia="en-US"/>
        </w:rPr>
        <w:t xml:space="preserve">s </w:t>
      </w:r>
      <w:r w:rsidR="00474EEB" w:rsidRPr="00D3430D">
        <w:rPr>
          <w:rFonts w:eastAsia="Calibri" w:cs="Arial"/>
          <w:iCs/>
          <w:szCs w:val="22"/>
          <w:lang w:eastAsia="en-US"/>
        </w:rPr>
        <w:t xml:space="preserve">have been rarely reported and these would only be present in metastatic disease. </w:t>
      </w:r>
    </w:p>
    <w:p w14:paraId="4AAD9069" w14:textId="577B59C7" w:rsidR="00BC1364" w:rsidRPr="00474EEB" w:rsidRDefault="00865516" w:rsidP="00474EEB">
      <w:pPr>
        <w:numPr>
          <w:ilvl w:val="0"/>
          <w:numId w:val="28"/>
        </w:numPr>
        <w:spacing w:after="120"/>
        <w:contextualSpacing/>
        <w:rPr>
          <w:rFonts w:eastAsia="Calibri" w:cs="Arial"/>
          <w:iCs/>
          <w:szCs w:val="22"/>
          <w:lang w:eastAsia="en-US"/>
        </w:rPr>
      </w:pPr>
      <w:r>
        <w:rPr>
          <w:rFonts w:eastAsia="Calibri" w:cs="Arial"/>
          <w:iCs/>
          <w:szCs w:val="22"/>
          <w:lang w:eastAsia="en-US"/>
        </w:rPr>
        <w:t>The feedback from the pathology provider and professional organisation highlighted</w:t>
      </w:r>
      <w:r w:rsidR="00474EEB" w:rsidRPr="00D3430D">
        <w:rPr>
          <w:rFonts w:eastAsia="Calibri" w:cs="Arial"/>
          <w:iCs/>
          <w:szCs w:val="22"/>
          <w:lang w:eastAsia="en-US"/>
        </w:rPr>
        <w:t xml:space="preserve"> the importance of </w:t>
      </w:r>
      <w:r>
        <w:rPr>
          <w:rFonts w:eastAsia="Calibri" w:cs="Arial"/>
          <w:iCs/>
          <w:szCs w:val="22"/>
          <w:lang w:eastAsia="en-US"/>
        </w:rPr>
        <w:t xml:space="preserve">cascade testing and </w:t>
      </w:r>
      <w:r w:rsidR="00474EEB" w:rsidRPr="00D3430D">
        <w:rPr>
          <w:rFonts w:eastAsia="Calibri" w:cs="Arial"/>
          <w:iCs/>
          <w:szCs w:val="22"/>
          <w:lang w:eastAsia="en-US"/>
        </w:rPr>
        <w:t>appropriate genetic counselling.</w:t>
      </w:r>
    </w:p>
    <w:p w14:paraId="7F89DFFC" w14:textId="77777777" w:rsidR="00BC1364" w:rsidRPr="00F715D1" w:rsidRDefault="00BC1364" w:rsidP="00F715D1">
      <w:pPr>
        <w:pStyle w:val="Heading1"/>
      </w:pPr>
      <w:r w:rsidRPr="00F715D1">
        <w:t>Proposed intervention’s place in clinical management</w:t>
      </w:r>
    </w:p>
    <w:p w14:paraId="6762D090" w14:textId="649CDAF6" w:rsidR="00CF4E81" w:rsidRDefault="00CF4E81" w:rsidP="00F715D1">
      <w:pPr>
        <w:spacing w:after="240"/>
        <w:rPr>
          <w:b/>
          <w:szCs w:val="24"/>
        </w:rPr>
      </w:pPr>
      <w:r w:rsidRPr="00CF4E81">
        <w:rPr>
          <w:b/>
          <w:szCs w:val="24"/>
        </w:rPr>
        <w:t xml:space="preserve">Description of </w:t>
      </w:r>
      <w:r w:rsidR="00857836">
        <w:rPr>
          <w:b/>
          <w:szCs w:val="24"/>
        </w:rPr>
        <w:t>p</w:t>
      </w:r>
      <w:r w:rsidRPr="00CF4E81">
        <w:rPr>
          <w:b/>
          <w:szCs w:val="24"/>
        </w:rPr>
        <w:t xml:space="preserve">roposed </w:t>
      </w:r>
      <w:r w:rsidR="00857836">
        <w:rPr>
          <w:b/>
          <w:szCs w:val="24"/>
        </w:rPr>
        <w:t>i</w:t>
      </w:r>
      <w:r w:rsidRPr="00CF4E81">
        <w:rPr>
          <w:b/>
          <w:szCs w:val="24"/>
        </w:rPr>
        <w:t>ntervention</w:t>
      </w:r>
    </w:p>
    <w:p w14:paraId="763A9C75" w14:textId="5B407366" w:rsidR="00E76EF1" w:rsidRDefault="00E76EF1" w:rsidP="00980FC1">
      <w:r>
        <w:t>T</w:t>
      </w:r>
      <w:r w:rsidRPr="00E76EF1">
        <w:t xml:space="preserve">he proposed medical service is testing of prostate tumour tissue to detect </w:t>
      </w:r>
      <w:r w:rsidRPr="00980FC1">
        <w:rPr>
          <w:i/>
        </w:rPr>
        <w:t>BRCA1/2</w:t>
      </w:r>
      <w:r>
        <w:t xml:space="preserve"> pathogenic </w:t>
      </w:r>
      <w:r w:rsidR="00F97785">
        <w:t xml:space="preserve">or likely pathogenic gene </w:t>
      </w:r>
      <w:r>
        <w:t xml:space="preserve">variants </w:t>
      </w:r>
      <w:r w:rsidRPr="00E76EF1">
        <w:t xml:space="preserve">in </w:t>
      </w:r>
      <w:r w:rsidR="00980FC1">
        <w:t>patients</w:t>
      </w:r>
      <w:r w:rsidRPr="00E76EF1">
        <w:t xml:space="preserve"> with metastatic castration-resistant prostate cancer to determine eligibility for treatment with olaparib.</w:t>
      </w:r>
    </w:p>
    <w:p w14:paraId="54E814A1" w14:textId="0B9957DC" w:rsidR="00CF4E81" w:rsidRDefault="00857836" w:rsidP="007C2DC0">
      <w:pPr>
        <w:autoSpaceDE w:val="0"/>
        <w:autoSpaceDN w:val="0"/>
        <w:adjustRightInd w:val="0"/>
        <w:spacing w:before="240"/>
        <w:rPr>
          <w:b/>
        </w:rPr>
      </w:pPr>
      <w:r>
        <w:rPr>
          <w:b/>
        </w:rPr>
        <w:t>Description of medical c</w:t>
      </w:r>
      <w:r w:rsidR="00CF4E81" w:rsidRPr="00CF4E81">
        <w:rPr>
          <w:b/>
        </w:rPr>
        <w:t>ondition(s)</w:t>
      </w:r>
    </w:p>
    <w:p w14:paraId="666C490A" w14:textId="4B89420C" w:rsidR="00CF4E81" w:rsidRDefault="00E76EF1" w:rsidP="007C2DC0">
      <w:pPr>
        <w:autoSpaceDE w:val="0"/>
        <w:autoSpaceDN w:val="0"/>
        <w:adjustRightInd w:val="0"/>
        <w:spacing w:before="240"/>
      </w:pPr>
      <w:r w:rsidRPr="00E76EF1">
        <w:t>When localised, prostate cancer can be cured with surgery or radiotherapy, but some patients will relapse with either overt metastases or an isolated rise in prostate-specific antigen. There is also a proportion of men who have metastases when the prostate cancer is first diagnosed. Prostate cancer is termed ‘castrate resistant’ when the disease progresses despite continuous androgen deprivation therapy. After this, further treatment is needed to maintain disease control.</w:t>
      </w:r>
    </w:p>
    <w:p w14:paraId="633AFBB1" w14:textId="4FC2C9E1" w:rsidR="00474EEB" w:rsidRPr="00474EEB" w:rsidRDefault="00474EEB" w:rsidP="007C2DC0">
      <w:pPr>
        <w:spacing w:before="240" w:after="240"/>
        <w:jc w:val="both"/>
        <w:rPr>
          <w:rFonts w:eastAsia="Calibri" w:cs="Arial"/>
          <w:iCs/>
          <w:szCs w:val="22"/>
          <w:lang w:eastAsia="en-US"/>
        </w:rPr>
      </w:pPr>
      <w:r w:rsidRPr="00474EEB">
        <w:rPr>
          <w:rFonts w:eastAsia="Calibri" w:cs="Arial"/>
          <w:iCs/>
          <w:szCs w:val="22"/>
          <w:lang w:eastAsia="en-US"/>
        </w:rPr>
        <w:t xml:space="preserve">The current and proposed clinical management algorithms are presented in </w:t>
      </w:r>
      <w:r w:rsidRPr="00474EEB">
        <w:rPr>
          <w:rFonts w:eastAsia="Calibri"/>
        </w:rPr>
        <w:fldChar w:fldCharType="begin"/>
      </w:r>
      <w:r w:rsidRPr="00474EEB">
        <w:rPr>
          <w:rFonts w:eastAsia="Calibri"/>
        </w:rPr>
        <w:instrText xml:space="preserve"> REF _Ref62131151 \h  \* MERGEFORMAT </w:instrText>
      </w:r>
      <w:r w:rsidRPr="00474EEB">
        <w:rPr>
          <w:rFonts w:eastAsia="Calibri"/>
        </w:rPr>
      </w:r>
      <w:r w:rsidRPr="00474EEB">
        <w:rPr>
          <w:rFonts w:eastAsia="Calibri"/>
        </w:rPr>
        <w:fldChar w:fldCharType="separate"/>
      </w:r>
      <w:r w:rsidR="006C2E0B" w:rsidRPr="006C2E0B">
        <w:t>Figure 2</w:t>
      </w:r>
      <w:r w:rsidRPr="00474EEB">
        <w:rPr>
          <w:rFonts w:eastAsia="Calibri"/>
        </w:rPr>
        <w:fldChar w:fldCharType="end"/>
      </w:r>
      <w:r w:rsidRPr="00474EEB">
        <w:rPr>
          <w:rFonts w:eastAsia="Calibri"/>
        </w:rPr>
        <w:t xml:space="preserve"> and </w:t>
      </w:r>
      <w:r w:rsidRPr="00474EEB">
        <w:rPr>
          <w:rFonts w:eastAsia="Calibri"/>
        </w:rPr>
        <w:fldChar w:fldCharType="begin"/>
      </w:r>
      <w:r w:rsidRPr="00474EEB">
        <w:rPr>
          <w:rFonts w:eastAsia="Calibri"/>
        </w:rPr>
        <w:instrText xml:space="preserve"> REF _Ref62131155 \h  \* MERGEFORMAT </w:instrText>
      </w:r>
      <w:r w:rsidRPr="00474EEB">
        <w:rPr>
          <w:rFonts w:eastAsia="Calibri"/>
        </w:rPr>
      </w:r>
      <w:r w:rsidRPr="00474EEB">
        <w:rPr>
          <w:rFonts w:eastAsia="Calibri"/>
        </w:rPr>
        <w:fldChar w:fldCharType="separate"/>
      </w:r>
      <w:r w:rsidR="006C2E0B" w:rsidRPr="006C2E0B">
        <w:t>Figure</w:t>
      </w:r>
      <w:r w:rsidR="006C2E0B">
        <w:t> </w:t>
      </w:r>
      <w:r w:rsidR="006C2E0B" w:rsidRPr="006C2E0B">
        <w:t>3</w:t>
      </w:r>
      <w:r w:rsidRPr="00474EEB">
        <w:rPr>
          <w:rFonts w:eastAsia="Calibri"/>
        </w:rPr>
        <w:fldChar w:fldCharType="end"/>
      </w:r>
      <w:r w:rsidRPr="00474EEB">
        <w:rPr>
          <w:rFonts w:eastAsia="Calibri"/>
        </w:rPr>
        <w:t>, respectively.</w:t>
      </w:r>
    </w:p>
    <w:p w14:paraId="68D6A731" w14:textId="3CFFF242" w:rsidR="00474EEB" w:rsidRPr="00474EEB" w:rsidRDefault="00474EEB" w:rsidP="00474EEB">
      <w:pPr>
        <w:rPr>
          <w:rFonts w:eastAsia="Calibri" w:cs="Arial"/>
          <w:iCs/>
          <w:szCs w:val="22"/>
          <w:lang w:eastAsia="en-US"/>
        </w:rPr>
      </w:pPr>
      <w:r w:rsidRPr="00474EEB">
        <w:rPr>
          <w:rFonts w:eastAsia="Calibri" w:cs="Arial"/>
          <w:szCs w:val="22"/>
          <w:lang w:eastAsia="en-US"/>
        </w:rPr>
        <w:t xml:space="preserve">The submission proposed testing of tumour tissue in a patient with </w:t>
      </w:r>
      <w:proofErr w:type="spellStart"/>
      <w:r w:rsidRPr="00474EEB">
        <w:rPr>
          <w:rFonts w:eastAsia="Calibri" w:cs="Arial"/>
          <w:szCs w:val="22"/>
          <w:lang w:eastAsia="en-US"/>
        </w:rPr>
        <w:t>mCRPC</w:t>
      </w:r>
      <w:proofErr w:type="spellEnd"/>
      <w:r w:rsidRPr="00474EEB">
        <w:rPr>
          <w:rFonts w:eastAsia="Calibri" w:cs="Arial"/>
          <w:szCs w:val="22"/>
          <w:lang w:eastAsia="en-US"/>
        </w:rPr>
        <w:t xml:space="preserve"> to detect </w:t>
      </w:r>
      <w:r w:rsidRPr="00474EEB">
        <w:rPr>
          <w:rFonts w:eastAsia="Calibri" w:cs="Arial"/>
          <w:i/>
          <w:szCs w:val="22"/>
          <w:lang w:eastAsia="en-US"/>
        </w:rPr>
        <w:t>BRCA1/2</w:t>
      </w:r>
      <w:r w:rsidRPr="00474EEB">
        <w:rPr>
          <w:rFonts w:eastAsia="Calibri" w:cs="Arial"/>
          <w:szCs w:val="22"/>
          <w:lang w:eastAsia="en-US"/>
        </w:rPr>
        <w:t xml:space="preserve"> pathogenic</w:t>
      </w:r>
      <w:r w:rsidR="00F97785" w:rsidRPr="00F97785">
        <w:t xml:space="preserve"> </w:t>
      </w:r>
      <w:r w:rsidR="00F97785">
        <w:t>gene</w:t>
      </w:r>
      <w:r w:rsidRPr="00474EEB">
        <w:rPr>
          <w:rFonts w:eastAsia="Calibri" w:cs="Arial"/>
          <w:szCs w:val="22"/>
          <w:lang w:eastAsia="en-US"/>
        </w:rPr>
        <w:t xml:space="preserve"> variants would be </w:t>
      </w:r>
      <w:r w:rsidRPr="00474EEB">
        <w:t>performed</w:t>
      </w:r>
      <w:r w:rsidRPr="00474EEB">
        <w:rPr>
          <w:rFonts w:eastAsia="Calibri" w:cs="Arial"/>
          <w:szCs w:val="22"/>
          <w:lang w:eastAsia="en-US"/>
        </w:rPr>
        <w:t xml:space="preserve"> at diagnosis of </w:t>
      </w:r>
      <w:proofErr w:type="spellStart"/>
      <w:r w:rsidRPr="00474EEB">
        <w:rPr>
          <w:rFonts w:eastAsia="Calibri" w:cs="Arial"/>
          <w:szCs w:val="22"/>
          <w:lang w:eastAsia="en-US"/>
        </w:rPr>
        <w:t>mCRPC</w:t>
      </w:r>
      <w:proofErr w:type="spellEnd"/>
      <w:r w:rsidRPr="00474EEB">
        <w:rPr>
          <w:rFonts w:eastAsia="Calibri" w:cs="Arial"/>
          <w:szCs w:val="22"/>
          <w:lang w:eastAsia="en-US"/>
        </w:rPr>
        <w:t xml:space="preserve">. The turnaround time of the test of 4-6 weeks is due to retrieval of archived samples, which may take 1-2 weeks, and preparation, DNA extraction and interpretation. The Commentary considered that </w:t>
      </w:r>
      <w:r w:rsidRPr="00474EEB">
        <w:rPr>
          <w:rFonts w:eastAsia="Calibri" w:cs="Arial"/>
          <w:iCs/>
          <w:szCs w:val="22"/>
          <w:lang w:eastAsia="en-US"/>
        </w:rPr>
        <w:t>this was appropriate, but noted this contradicted statements elsewhere in the submission (see below).</w:t>
      </w:r>
    </w:p>
    <w:p w14:paraId="541F4B0B" w14:textId="591E0874" w:rsidR="00474EEB" w:rsidRPr="00474EEB" w:rsidRDefault="00474EEB" w:rsidP="007C2DC0">
      <w:pPr>
        <w:spacing w:before="240"/>
        <w:rPr>
          <w:rFonts w:eastAsia="Calibri" w:cs="Arial"/>
          <w:iCs/>
          <w:szCs w:val="22"/>
          <w:lang w:eastAsia="en-US"/>
        </w:rPr>
      </w:pPr>
      <w:r w:rsidRPr="00474EEB">
        <w:rPr>
          <w:rFonts w:eastAsia="Calibri" w:cs="Arial"/>
          <w:szCs w:val="22"/>
          <w:lang w:eastAsia="en-US"/>
        </w:rPr>
        <w:t xml:space="preserve">The submission recommended the </w:t>
      </w:r>
      <w:r w:rsidRPr="00474EEB">
        <w:t>treating</w:t>
      </w:r>
      <w:r w:rsidRPr="00474EEB">
        <w:rPr>
          <w:rFonts w:eastAsia="Calibri" w:cs="Arial"/>
          <w:szCs w:val="22"/>
          <w:lang w:eastAsia="en-US"/>
        </w:rPr>
        <w:t xml:space="preserve"> clinician should order a germline test when the tumour test was unsuccessful or not feasible, and re-biopsy was not practicable. </w:t>
      </w:r>
      <w:r w:rsidRPr="00474EEB">
        <w:rPr>
          <w:rFonts w:eastAsia="Calibri" w:cs="Arial"/>
          <w:iCs/>
          <w:szCs w:val="22"/>
          <w:lang w:eastAsia="en-US"/>
        </w:rPr>
        <w:t xml:space="preserve">However, the Commentary considered germline testing alone may not adequately identify patients with somatic-only </w:t>
      </w:r>
      <w:r w:rsidRPr="00474EEB">
        <w:rPr>
          <w:rFonts w:eastAsia="Calibri" w:cs="Arial"/>
          <w:i/>
          <w:iCs/>
          <w:szCs w:val="22"/>
          <w:lang w:eastAsia="en-US"/>
        </w:rPr>
        <w:t>BRCA1/2</w:t>
      </w:r>
      <w:r w:rsidRPr="00474EEB">
        <w:rPr>
          <w:rFonts w:eastAsia="Calibri" w:cs="Arial"/>
          <w:iCs/>
          <w:szCs w:val="22"/>
          <w:lang w:eastAsia="en-US"/>
        </w:rPr>
        <w:t xml:space="preserve"> pathogenic </w:t>
      </w:r>
      <w:r w:rsidR="00F97785">
        <w:t xml:space="preserve">gene </w:t>
      </w:r>
      <w:r w:rsidRPr="00474EEB">
        <w:rPr>
          <w:rFonts w:eastAsia="Calibri" w:cs="Arial"/>
          <w:iCs/>
          <w:szCs w:val="22"/>
          <w:lang w:eastAsia="en-US"/>
        </w:rPr>
        <w:t xml:space="preserve">variants. The Commentary highlighted that studies suggest approximately half to more than half of detected </w:t>
      </w:r>
      <w:r w:rsidRPr="00474EEB">
        <w:rPr>
          <w:rFonts w:eastAsia="Calibri" w:cs="Arial"/>
          <w:i/>
          <w:iCs/>
          <w:szCs w:val="22"/>
          <w:lang w:eastAsia="en-US"/>
        </w:rPr>
        <w:t>BRCA1/2</w:t>
      </w:r>
      <w:r w:rsidRPr="00474EEB">
        <w:rPr>
          <w:rFonts w:eastAsia="Calibri" w:cs="Arial"/>
          <w:iCs/>
          <w:szCs w:val="22"/>
          <w:lang w:eastAsia="en-US"/>
        </w:rPr>
        <w:t xml:space="preserve"> pathogenic </w:t>
      </w:r>
      <w:r w:rsidR="00F97785">
        <w:t xml:space="preserve">gene </w:t>
      </w:r>
      <w:r w:rsidRPr="00474EEB">
        <w:rPr>
          <w:rFonts w:eastAsia="Calibri" w:cs="Arial"/>
          <w:iCs/>
          <w:szCs w:val="22"/>
          <w:lang w:eastAsia="en-US"/>
        </w:rPr>
        <w:t>variants in prostate cancer are somatic only</w:t>
      </w:r>
      <w:r w:rsidRPr="005029BF">
        <w:rPr>
          <w:rFonts w:eastAsia="Calibri" w:cs="Arial"/>
          <w:iCs/>
          <w:szCs w:val="22"/>
          <w:vertAlign w:val="superscript"/>
          <w:lang w:eastAsia="en-US"/>
        </w:rPr>
        <w:footnoteReference w:id="4"/>
      </w:r>
      <w:r w:rsidR="00EF74B4" w:rsidRPr="0020302E">
        <w:rPr>
          <w:rFonts w:eastAsia="Calibri" w:cs="Arial"/>
          <w:iCs/>
          <w:szCs w:val="22"/>
          <w:vertAlign w:val="superscript"/>
          <w:lang w:eastAsia="en-US"/>
        </w:rPr>
        <w:t>,</w:t>
      </w:r>
      <w:r w:rsidRPr="00474EEB">
        <w:rPr>
          <w:rFonts w:eastAsia="Calibri" w:cs="Arial"/>
          <w:iCs/>
          <w:szCs w:val="22"/>
          <w:vertAlign w:val="superscript"/>
          <w:lang w:eastAsia="en-US"/>
        </w:rPr>
        <w:footnoteReference w:id="5"/>
      </w:r>
      <w:r w:rsidRPr="00474EEB">
        <w:rPr>
          <w:rFonts w:eastAsia="Calibri" w:cs="Arial"/>
          <w:iCs/>
          <w:szCs w:val="22"/>
          <w:lang w:eastAsia="en-US"/>
        </w:rPr>
        <w:t xml:space="preserve">and thus would not be detected via germline testing alone. Clinical guidelines advocate for both germline and somatic testing in patients with </w:t>
      </w:r>
      <w:r w:rsidRPr="00474EEB">
        <w:rPr>
          <w:rFonts w:eastAsia="Calibri" w:cs="Arial"/>
          <w:iCs/>
          <w:szCs w:val="22"/>
          <w:lang w:eastAsia="en-US"/>
        </w:rPr>
        <w:lastRenderedPageBreak/>
        <w:t>metastatic prostate cancer</w:t>
      </w:r>
      <w:r w:rsidRPr="00474EEB">
        <w:rPr>
          <w:rFonts w:eastAsia="Calibri" w:cs="Arial"/>
          <w:iCs/>
          <w:szCs w:val="22"/>
          <w:vertAlign w:val="superscript"/>
          <w:lang w:eastAsia="en-US"/>
        </w:rPr>
        <w:footnoteReference w:id="6"/>
      </w:r>
      <w:r w:rsidRPr="00474EEB">
        <w:rPr>
          <w:rFonts w:eastAsia="Calibri" w:cs="Arial"/>
          <w:iCs/>
          <w:szCs w:val="22"/>
          <w:lang w:eastAsia="en-US"/>
        </w:rPr>
        <w:t>. Pathogenic germline variants (PGVs) may also be missed by tumour testing alone. In one report, 2023 patients with cancer unselected for family history received germline testing and previously had tumour DNA sequencing, 8.1 percent of the PGVs were found to have been missed by tumour sequencing alone</w:t>
      </w:r>
      <w:r w:rsidRPr="00474EEB">
        <w:rPr>
          <w:rFonts w:eastAsia="Calibri" w:cs="Arial"/>
          <w:iCs/>
          <w:szCs w:val="22"/>
          <w:vertAlign w:val="superscript"/>
          <w:lang w:eastAsia="en-US"/>
        </w:rPr>
        <w:footnoteReference w:id="7"/>
      </w:r>
      <w:r w:rsidRPr="00474EEB">
        <w:rPr>
          <w:rFonts w:eastAsia="Calibri" w:cs="Arial"/>
          <w:iCs/>
          <w:szCs w:val="22"/>
          <w:lang w:eastAsia="en-US"/>
        </w:rPr>
        <w:t>.</w:t>
      </w:r>
    </w:p>
    <w:p w14:paraId="3144B48A" w14:textId="5246AB07" w:rsidR="00474EEB" w:rsidRPr="00474EEB" w:rsidRDefault="00474EEB" w:rsidP="007C2DC0">
      <w:pPr>
        <w:spacing w:before="240"/>
        <w:rPr>
          <w:rFonts w:eastAsia="Calibri" w:cs="Arial"/>
          <w:szCs w:val="22"/>
          <w:lang w:eastAsia="en-US"/>
        </w:rPr>
      </w:pPr>
      <w:r w:rsidRPr="00474EEB">
        <w:rPr>
          <w:rFonts w:eastAsia="Calibri" w:cs="Arial"/>
          <w:iCs/>
          <w:szCs w:val="22"/>
          <w:lang w:eastAsia="en-US"/>
        </w:rPr>
        <w:t>The Commentary highlighted that the disparity between germline and somatic testing has been highlighted in the Public Summary Document (PSD) of Application No. 1554 (</w:t>
      </w:r>
      <w:hyperlink r:id="rId28" w:history="1">
        <w:r w:rsidRPr="00474EEB">
          <w:rPr>
            <w:rFonts w:eastAsia="Calibri" w:cs="Arial"/>
            <w:iCs/>
            <w:color w:val="0000FF"/>
            <w:szCs w:val="22"/>
            <w:u w:val="single"/>
            <w:lang w:eastAsia="en-US"/>
          </w:rPr>
          <w:t>PSD Application No. 1554</w:t>
        </w:r>
      </w:hyperlink>
      <w:r w:rsidRPr="00474EEB">
        <w:rPr>
          <w:rFonts w:eastAsia="Calibri" w:cs="Arial"/>
          <w:iCs/>
          <w:szCs w:val="22"/>
          <w:lang w:eastAsia="en-US"/>
        </w:rPr>
        <w:t>) for olaparib treatment for high</w:t>
      </w:r>
      <w:r w:rsidRPr="00474EEB">
        <w:rPr>
          <w:rFonts w:eastAsia="Calibri" w:cs="Arial"/>
          <w:color w:val="000000"/>
          <w:szCs w:val="22"/>
          <w:lang w:eastAsia="en-US"/>
        </w:rPr>
        <w:t>-grade epithelial ovarian, fallopian tube and primary peritoneal cancer (HGEOC)</w:t>
      </w:r>
      <w:r w:rsidRPr="00474EEB">
        <w:rPr>
          <w:rFonts w:eastAsia="Calibri" w:cs="Arial"/>
          <w:iCs/>
          <w:szCs w:val="22"/>
          <w:lang w:eastAsia="en-US"/>
        </w:rPr>
        <w:t xml:space="preserve">. </w:t>
      </w:r>
      <w:r w:rsidRPr="00474EEB">
        <w:rPr>
          <w:rFonts w:eastAsia="Calibri" w:cs="Arial"/>
          <w:szCs w:val="22"/>
          <w:lang w:eastAsia="en-US"/>
        </w:rPr>
        <w:t xml:space="preserve">In Table 6 (p13) of </w:t>
      </w:r>
      <w:r w:rsidRPr="00474EEB">
        <w:t>the</w:t>
      </w:r>
      <w:r w:rsidRPr="00474EEB">
        <w:rPr>
          <w:rFonts w:eastAsia="Calibri" w:cs="Arial"/>
          <w:szCs w:val="22"/>
          <w:lang w:eastAsia="en-US"/>
        </w:rPr>
        <w:t xml:space="preserve"> PSD</w:t>
      </w:r>
      <w:r w:rsidRPr="00474EEB">
        <w:rPr>
          <w:rFonts w:eastAsia="Calibri" w:cs="Arial"/>
          <w:iCs/>
          <w:szCs w:val="22"/>
          <w:lang w:eastAsia="en-US"/>
        </w:rPr>
        <w:t>, t</w:t>
      </w:r>
      <w:r w:rsidRPr="00474EEB">
        <w:rPr>
          <w:rFonts w:eastAsia="Calibri" w:cs="Arial"/>
          <w:szCs w:val="22"/>
          <w:lang w:eastAsia="en-US"/>
        </w:rPr>
        <w:t xml:space="preserve">he overall concordance between tumour and germline NGS </w:t>
      </w:r>
      <w:r w:rsidRPr="00474EEB">
        <w:rPr>
          <w:rFonts w:eastAsia="Calibri" w:cs="Arial"/>
          <w:i/>
          <w:iCs/>
          <w:szCs w:val="22"/>
          <w:lang w:eastAsia="en-US"/>
        </w:rPr>
        <w:t>BRCA1/2</w:t>
      </w:r>
      <w:r w:rsidRPr="00474EEB">
        <w:rPr>
          <w:rFonts w:eastAsia="Calibri" w:cs="Arial"/>
          <w:szCs w:val="22"/>
          <w:lang w:eastAsia="en-US"/>
        </w:rPr>
        <w:t xml:space="preserve"> test results ranged from 90%</w:t>
      </w:r>
      <w:r w:rsidRPr="00474EEB">
        <w:rPr>
          <w:rFonts w:ascii="Arial Narrow" w:eastAsia="Calibri" w:hAnsi="Arial Narrow" w:cs="Arial"/>
          <w:szCs w:val="22"/>
          <w:lang w:eastAsia="en-US"/>
        </w:rPr>
        <w:t>−</w:t>
      </w:r>
      <w:r w:rsidRPr="00474EEB">
        <w:rPr>
          <w:rFonts w:eastAsia="Calibri" w:cs="Arial"/>
          <w:szCs w:val="22"/>
          <w:lang w:eastAsia="en-US"/>
        </w:rPr>
        <w:t>96%, and the positive and negative concordance ranged from 54.4%</w:t>
      </w:r>
      <w:r w:rsidRPr="00474EEB">
        <w:rPr>
          <w:rFonts w:eastAsia="Calibri" w:cs="Calibri"/>
          <w:szCs w:val="22"/>
          <w:lang w:eastAsia="en-US"/>
        </w:rPr>
        <w:t>−</w:t>
      </w:r>
      <w:r w:rsidRPr="00474EEB">
        <w:rPr>
          <w:rFonts w:eastAsia="Calibri" w:cs="Arial"/>
          <w:szCs w:val="22"/>
          <w:lang w:eastAsia="en-US"/>
        </w:rPr>
        <w:t>85.7% and 85.7%</w:t>
      </w:r>
      <w:r w:rsidRPr="00474EEB">
        <w:rPr>
          <w:rFonts w:ascii="Arial Narrow" w:eastAsia="Calibri" w:hAnsi="Arial Narrow" w:cs="Arial"/>
          <w:szCs w:val="22"/>
          <w:lang w:eastAsia="en-US"/>
        </w:rPr>
        <w:t>−</w:t>
      </w:r>
      <w:r w:rsidRPr="00474EEB">
        <w:rPr>
          <w:rFonts w:eastAsia="Calibri" w:cs="Arial"/>
          <w:szCs w:val="22"/>
          <w:lang w:eastAsia="en-US"/>
        </w:rPr>
        <w:t xml:space="preserve">94.7%, respectively. The Commentary considered that these values were explained by somatic </w:t>
      </w:r>
      <w:r w:rsidR="00857836">
        <w:rPr>
          <w:rFonts w:eastAsia="Calibri" w:cs="Arial"/>
          <w:szCs w:val="22"/>
          <w:lang w:eastAsia="en-US"/>
        </w:rPr>
        <w:t>variants</w:t>
      </w:r>
      <w:r w:rsidRPr="00474EEB">
        <w:rPr>
          <w:rFonts w:eastAsia="Calibri" w:cs="Arial"/>
          <w:szCs w:val="22"/>
          <w:lang w:eastAsia="en-US"/>
        </w:rPr>
        <w:t xml:space="preserve"> that could not be detected by a germline test, when the patients with somatic </w:t>
      </w:r>
      <w:r w:rsidR="00857836">
        <w:rPr>
          <w:rFonts w:eastAsia="Calibri" w:cs="Arial"/>
          <w:szCs w:val="22"/>
          <w:lang w:eastAsia="en-US"/>
        </w:rPr>
        <w:t>variants</w:t>
      </w:r>
      <w:r w:rsidRPr="00474EEB">
        <w:rPr>
          <w:rFonts w:eastAsia="Calibri" w:cs="Arial"/>
          <w:szCs w:val="22"/>
          <w:lang w:eastAsia="en-US"/>
        </w:rPr>
        <w:t xml:space="preserve"> were removed from the analysis, the concordance between the somatic and germline NGS </w:t>
      </w:r>
      <w:r w:rsidRPr="00474EEB">
        <w:rPr>
          <w:rFonts w:eastAsia="Calibri" w:cs="Arial"/>
          <w:i/>
          <w:szCs w:val="22"/>
          <w:lang w:eastAsia="en-US"/>
        </w:rPr>
        <w:t>BRCA1/2</w:t>
      </w:r>
      <w:r w:rsidRPr="00474EEB">
        <w:rPr>
          <w:rFonts w:eastAsia="Calibri" w:cs="Arial"/>
          <w:szCs w:val="22"/>
          <w:lang w:eastAsia="en-US"/>
        </w:rPr>
        <w:t xml:space="preserve"> tests was 100% for detection of germline </w:t>
      </w:r>
      <w:r w:rsidRPr="00474EEB">
        <w:rPr>
          <w:rFonts w:eastAsia="Calibri" w:cs="Arial"/>
          <w:i/>
          <w:szCs w:val="22"/>
          <w:lang w:eastAsia="en-US"/>
        </w:rPr>
        <w:t>BRCA1/2</w:t>
      </w:r>
      <w:r w:rsidRPr="00474EEB">
        <w:rPr>
          <w:rFonts w:eastAsia="Calibri" w:cs="Arial"/>
          <w:szCs w:val="22"/>
          <w:lang w:eastAsia="en-US"/>
        </w:rPr>
        <w:t xml:space="preserve"> pathogenic </w:t>
      </w:r>
      <w:r w:rsidR="00F97785">
        <w:t xml:space="preserve">gene </w:t>
      </w:r>
      <w:r w:rsidRPr="00474EEB">
        <w:rPr>
          <w:rFonts w:eastAsia="Calibri" w:cs="Arial"/>
          <w:szCs w:val="22"/>
          <w:lang w:eastAsia="en-US"/>
        </w:rPr>
        <w:t>variants.</w:t>
      </w:r>
    </w:p>
    <w:p w14:paraId="1FCD3458" w14:textId="67F52F23" w:rsidR="00474EEB" w:rsidRPr="00474EEB" w:rsidRDefault="00474EEB" w:rsidP="007C2DC0">
      <w:pPr>
        <w:spacing w:before="240"/>
        <w:rPr>
          <w:rFonts w:eastAsia="Calibri" w:cs="Arial"/>
          <w:iCs/>
          <w:szCs w:val="22"/>
          <w:lang w:eastAsia="en-US"/>
        </w:rPr>
      </w:pPr>
      <w:r w:rsidRPr="00474EEB">
        <w:rPr>
          <w:rFonts w:eastAsia="Calibri" w:cs="Arial"/>
          <w:iCs/>
          <w:szCs w:val="22"/>
          <w:lang w:eastAsia="en-US"/>
        </w:rPr>
        <w:t>Furthermore, given guidelines increasingly recommend germline testing for patients with metastatic prostate cancer,</w:t>
      </w:r>
      <w:r w:rsidRPr="00474EEB">
        <w:rPr>
          <w:rFonts w:eastAsia="Calibri" w:cs="Arial"/>
          <w:iCs/>
          <w:szCs w:val="22"/>
          <w:vertAlign w:val="superscript"/>
          <w:lang w:eastAsia="en-US"/>
        </w:rPr>
        <w:footnoteReference w:id="8"/>
      </w:r>
      <w:r w:rsidRPr="00474EEB">
        <w:rPr>
          <w:rFonts w:eastAsia="Calibri" w:cs="Arial"/>
          <w:iCs/>
          <w:szCs w:val="22"/>
          <w:vertAlign w:val="superscript"/>
          <w:lang w:eastAsia="en-US"/>
        </w:rPr>
        <w:t>,</w:t>
      </w:r>
      <w:r w:rsidRPr="00474EEB">
        <w:rPr>
          <w:rFonts w:eastAsia="Calibri" w:cs="Arial"/>
          <w:iCs/>
          <w:szCs w:val="22"/>
          <w:vertAlign w:val="superscript"/>
          <w:lang w:eastAsia="en-US"/>
        </w:rPr>
        <w:footnoteReference w:id="9"/>
      </w:r>
      <w:r w:rsidRPr="00474EEB">
        <w:rPr>
          <w:rFonts w:eastAsia="Calibri" w:cs="Arial"/>
          <w:iCs/>
          <w:szCs w:val="22"/>
          <w:lang w:eastAsia="en-US"/>
        </w:rPr>
        <w:t xml:space="preserve"> the Commentary considered that it may be more </w:t>
      </w:r>
      <w:r w:rsidRPr="00474EEB">
        <w:t>practical</w:t>
      </w:r>
      <w:r w:rsidRPr="00474EEB">
        <w:rPr>
          <w:rFonts w:eastAsia="Calibri" w:cs="Arial"/>
          <w:iCs/>
          <w:szCs w:val="22"/>
          <w:lang w:eastAsia="en-US"/>
        </w:rPr>
        <w:t xml:space="preserve"> to consider germline results prior to tumour testing. The Commentary noted that some </w:t>
      </w:r>
      <w:proofErr w:type="spellStart"/>
      <w:r w:rsidRPr="00474EEB">
        <w:rPr>
          <w:rFonts w:eastAsia="Calibri" w:cs="Arial"/>
          <w:iCs/>
          <w:szCs w:val="22"/>
          <w:lang w:eastAsia="en-US"/>
        </w:rPr>
        <w:t>mCRPC</w:t>
      </w:r>
      <w:proofErr w:type="spellEnd"/>
      <w:r w:rsidRPr="00474EEB">
        <w:rPr>
          <w:rFonts w:eastAsia="Calibri" w:cs="Arial"/>
          <w:iCs/>
          <w:szCs w:val="22"/>
          <w:lang w:eastAsia="en-US"/>
        </w:rPr>
        <w:t xml:space="preserve"> patients may already know their </w:t>
      </w:r>
      <w:r w:rsidRPr="00474EEB">
        <w:rPr>
          <w:rFonts w:eastAsia="Calibri" w:cs="Arial"/>
          <w:i/>
          <w:iCs/>
          <w:szCs w:val="22"/>
          <w:lang w:eastAsia="en-US"/>
        </w:rPr>
        <w:t>BRCA</w:t>
      </w:r>
      <w:r w:rsidRPr="00474EEB">
        <w:rPr>
          <w:rFonts w:eastAsia="Calibri" w:cs="Arial"/>
          <w:iCs/>
          <w:szCs w:val="22"/>
          <w:lang w:eastAsia="en-US"/>
        </w:rPr>
        <w:t xml:space="preserve"> status through cascade testing of germline pathogenic </w:t>
      </w:r>
      <w:r w:rsidR="00F97785">
        <w:t xml:space="preserve">gene </w:t>
      </w:r>
      <w:r w:rsidRPr="00474EEB">
        <w:rPr>
          <w:rFonts w:eastAsia="Calibri" w:cs="Arial"/>
          <w:iCs/>
          <w:szCs w:val="22"/>
          <w:lang w:eastAsia="en-US"/>
        </w:rPr>
        <w:t>variants associated with other familial cancers (e.g., breast and ovarian), and would require no further somatic testing to ascertain eligibility for olaparib.</w:t>
      </w:r>
    </w:p>
    <w:p w14:paraId="11C14F2C" w14:textId="406A9FC6" w:rsidR="00474EEB" w:rsidRPr="00474EEB" w:rsidRDefault="00474EEB" w:rsidP="007C2DC0">
      <w:pPr>
        <w:spacing w:before="240"/>
        <w:rPr>
          <w:rFonts w:eastAsia="Calibri" w:cs="Arial"/>
          <w:szCs w:val="22"/>
          <w:lang w:eastAsia="en-US"/>
        </w:rPr>
      </w:pPr>
      <w:r w:rsidRPr="00474EEB">
        <w:rPr>
          <w:rFonts w:eastAsia="Calibri" w:cs="Arial"/>
          <w:szCs w:val="22"/>
          <w:lang w:eastAsia="en-US"/>
        </w:rPr>
        <w:t xml:space="preserve">The submission also noted that patients with pathogenic </w:t>
      </w:r>
      <w:r w:rsidR="00F97785">
        <w:t xml:space="preserve">gene </w:t>
      </w:r>
      <w:r w:rsidRPr="00474EEB">
        <w:rPr>
          <w:rFonts w:eastAsia="Calibri" w:cs="Arial"/>
          <w:szCs w:val="22"/>
          <w:lang w:eastAsia="en-US"/>
        </w:rPr>
        <w:t xml:space="preserve">variants on tumour testing should be referred to </w:t>
      </w:r>
      <w:r w:rsidRPr="00474EEB">
        <w:rPr>
          <w:rFonts w:eastAsia="Calibri" w:cs="Arial"/>
          <w:lang w:eastAsia="en-US"/>
        </w:rPr>
        <w:t xml:space="preserve">clinical genetics services for genetic counselling and germline testing to determine if the variant is heritable, followed by cascade testing </w:t>
      </w:r>
      <w:r w:rsidRPr="00474EEB">
        <w:t>after</w:t>
      </w:r>
      <w:r w:rsidRPr="00474EEB">
        <w:rPr>
          <w:rFonts w:eastAsia="Calibri" w:cs="Arial"/>
          <w:lang w:eastAsia="en-US"/>
        </w:rPr>
        <w:t xml:space="preserve"> counselling testing </w:t>
      </w:r>
      <w:r w:rsidRPr="00474EEB">
        <w:rPr>
          <w:rFonts w:eastAsia="Calibri" w:cs="Arial"/>
          <w:szCs w:val="22"/>
          <w:lang w:eastAsia="en-US"/>
        </w:rPr>
        <w:t xml:space="preserve">if a germline </w:t>
      </w:r>
      <w:r w:rsidRPr="00474EEB">
        <w:rPr>
          <w:rFonts w:eastAsia="Calibri" w:cs="Arial"/>
          <w:i/>
          <w:iCs/>
          <w:szCs w:val="22"/>
          <w:lang w:eastAsia="en-US"/>
        </w:rPr>
        <w:t>BRCA1/2</w:t>
      </w:r>
      <w:r w:rsidRPr="00474EEB">
        <w:rPr>
          <w:rFonts w:eastAsia="Calibri" w:cs="Arial"/>
          <w:szCs w:val="22"/>
          <w:lang w:eastAsia="en-US"/>
        </w:rPr>
        <w:t xml:space="preserve"> pathogenic </w:t>
      </w:r>
      <w:r w:rsidR="00F97785">
        <w:t xml:space="preserve">gene </w:t>
      </w:r>
      <w:r w:rsidRPr="00474EEB">
        <w:rPr>
          <w:rFonts w:eastAsia="Calibri" w:cs="Arial"/>
          <w:szCs w:val="22"/>
          <w:lang w:eastAsia="en-US"/>
        </w:rPr>
        <w:t xml:space="preserve">variant was identified as there may be implications for other family members. </w:t>
      </w:r>
      <w:r w:rsidRPr="00474EEB">
        <w:rPr>
          <w:rFonts w:eastAsia="Calibri" w:cs="Arial"/>
          <w:iCs/>
          <w:szCs w:val="22"/>
          <w:lang w:eastAsia="en-US"/>
        </w:rPr>
        <w:t>These steps were included in the proposed cascade testing algorithm (</w:t>
      </w:r>
      <w:r w:rsidRPr="00474EEB">
        <w:rPr>
          <w:rFonts w:eastAsia="Calibri"/>
        </w:rPr>
        <w:fldChar w:fldCharType="begin"/>
      </w:r>
      <w:r w:rsidRPr="00474EEB">
        <w:rPr>
          <w:rFonts w:eastAsia="Calibri"/>
        </w:rPr>
        <w:instrText xml:space="preserve"> REF _Ref62131157 \h  \* MERGEFORMAT </w:instrText>
      </w:r>
      <w:r w:rsidRPr="00474EEB">
        <w:rPr>
          <w:rFonts w:eastAsia="Calibri"/>
        </w:rPr>
      </w:r>
      <w:r w:rsidRPr="00474EEB">
        <w:rPr>
          <w:rFonts w:eastAsia="Calibri"/>
        </w:rPr>
        <w:fldChar w:fldCharType="separate"/>
      </w:r>
      <w:r w:rsidR="006C2E0B" w:rsidRPr="006C2E0B">
        <w:t>Figure 4</w:t>
      </w:r>
      <w:r w:rsidRPr="00474EEB">
        <w:rPr>
          <w:rFonts w:eastAsia="Calibri"/>
        </w:rPr>
        <w:fldChar w:fldCharType="end"/>
      </w:r>
      <w:r w:rsidRPr="00474EEB">
        <w:rPr>
          <w:rFonts w:eastAsia="Calibri" w:cs="Arial"/>
          <w:iCs/>
          <w:szCs w:val="22"/>
          <w:lang w:eastAsia="en-US"/>
        </w:rPr>
        <w:t>), but were not explored further in the submission in either the clinical evaluation or the economic model.</w:t>
      </w:r>
    </w:p>
    <w:p w14:paraId="6745C792" w14:textId="4B56CD06" w:rsidR="00474EEB" w:rsidRPr="00474EEB" w:rsidRDefault="00474EEB" w:rsidP="007C2DC0">
      <w:pPr>
        <w:spacing w:before="240"/>
        <w:rPr>
          <w:rFonts w:eastAsia="Calibri" w:cs="Arial"/>
          <w:i/>
          <w:iCs/>
          <w:szCs w:val="22"/>
          <w:lang w:eastAsia="en-US"/>
        </w:rPr>
      </w:pPr>
      <w:r w:rsidRPr="00474EEB">
        <w:rPr>
          <w:rFonts w:eastAsia="Calibri" w:cs="Arial"/>
          <w:szCs w:val="22"/>
          <w:lang w:eastAsia="en-US"/>
        </w:rPr>
        <w:t xml:space="preserve">The submission indicated a separate biopsy was not required as most patients would have undergone a biopsy of tumour tissue at diagnosis or at another timepoint during their treatment. The submission explained that archived samples collected and prepared at initial diagnosis or subsequent biopsy can be used for somatic testing. The Commentary considered that </w:t>
      </w:r>
      <w:r w:rsidRPr="00474EEB">
        <w:rPr>
          <w:rFonts w:eastAsia="Calibri" w:cs="Arial"/>
          <w:iCs/>
          <w:szCs w:val="22"/>
          <w:lang w:eastAsia="en-US"/>
        </w:rPr>
        <w:t xml:space="preserve">this contradicts the submission’s statement above, as archived samples at initial diagnosis of prostate cancer or at another time point may not be suitable, and re-biopsy at </w:t>
      </w:r>
      <w:proofErr w:type="spellStart"/>
      <w:r w:rsidRPr="00474EEB">
        <w:rPr>
          <w:rFonts w:eastAsia="Calibri" w:cs="Arial"/>
          <w:iCs/>
          <w:szCs w:val="22"/>
          <w:lang w:eastAsia="en-US"/>
        </w:rPr>
        <w:t>mCRPC</w:t>
      </w:r>
      <w:proofErr w:type="spellEnd"/>
      <w:r w:rsidRPr="00474EEB">
        <w:rPr>
          <w:rFonts w:eastAsia="Calibri" w:cs="Arial"/>
          <w:iCs/>
          <w:szCs w:val="22"/>
          <w:lang w:eastAsia="en-US"/>
        </w:rPr>
        <w:t xml:space="preserve"> diagnosis would be required.</w:t>
      </w:r>
      <w:r w:rsidR="00CD5BF3">
        <w:rPr>
          <w:rFonts w:eastAsia="Calibri" w:cs="Arial"/>
          <w:iCs/>
          <w:szCs w:val="22"/>
          <w:lang w:eastAsia="en-US"/>
        </w:rPr>
        <w:t xml:space="preserve"> </w:t>
      </w:r>
      <w:r w:rsidR="00CD5BF3" w:rsidRPr="00474EEB">
        <w:rPr>
          <w:rFonts w:eastAsia="Calibri" w:cs="Arial"/>
          <w:iCs/>
          <w:szCs w:val="22"/>
          <w:lang w:eastAsia="en-US"/>
        </w:rPr>
        <w:t xml:space="preserve">As </w:t>
      </w:r>
      <w:r w:rsidR="00CD5BF3">
        <w:rPr>
          <w:rFonts w:eastAsia="Calibri" w:cs="Arial"/>
          <w:iCs/>
          <w:szCs w:val="22"/>
          <w:lang w:eastAsia="en-US"/>
        </w:rPr>
        <w:t xml:space="preserve">noted </w:t>
      </w:r>
      <w:r w:rsidR="00CD5BF3" w:rsidRPr="00474EEB">
        <w:rPr>
          <w:rFonts w:eastAsia="Calibri" w:cs="Arial"/>
          <w:iCs/>
          <w:szCs w:val="22"/>
          <w:lang w:eastAsia="en-US"/>
        </w:rPr>
        <w:t xml:space="preserve">by PASC </w:t>
      </w:r>
      <w:r w:rsidR="00CD5BF3">
        <w:rPr>
          <w:rFonts w:eastAsia="Calibri" w:cs="Arial"/>
          <w:iCs/>
          <w:szCs w:val="22"/>
          <w:lang w:eastAsia="en-US"/>
        </w:rPr>
        <w:t>from the public consultation</w:t>
      </w:r>
      <w:r w:rsidR="00CD5BF3" w:rsidRPr="00474EEB">
        <w:rPr>
          <w:rFonts w:eastAsia="Calibri" w:cs="Arial"/>
          <w:iCs/>
          <w:szCs w:val="22"/>
          <w:lang w:eastAsia="en-US"/>
        </w:rPr>
        <w:t>, somatic alterations may be acquired only when in the metastatic setting.</w:t>
      </w:r>
    </w:p>
    <w:p w14:paraId="35FBE249" w14:textId="430A25C9" w:rsidR="00474EEB" w:rsidRPr="00474EEB" w:rsidRDefault="00474EEB" w:rsidP="007C2DC0">
      <w:pPr>
        <w:spacing w:before="240"/>
        <w:rPr>
          <w:rFonts w:eastAsia="Calibri" w:cs="Arial"/>
          <w:i/>
          <w:iCs/>
          <w:szCs w:val="22"/>
          <w:lang w:eastAsia="en-US"/>
        </w:rPr>
      </w:pPr>
      <w:r w:rsidRPr="00474EEB">
        <w:rPr>
          <w:rFonts w:eastAsia="Calibri" w:cs="Arial"/>
          <w:iCs/>
          <w:szCs w:val="22"/>
          <w:lang w:eastAsia="en-US"/>
        </w:rPr>
        <w:t>The ratified PICO (</w:t>
      </w:r>
      <w:hyperlink r:id="rId29" w:history="1">
        <w:r w:rsidRPr="00474EEB">
          <w:rPr>
            <w:rFonts w:eastAsia="Calibri" w:cs="Arial"/>
            <w:iCs/>
            <w:color w:val="0000FF"/>
            <w:szCs w:val="22"/>
            <w:u w:val="single"/>
            <w:lang w:eastAsia="en-US"/>
          </w:rPr>
          <w:t>1618 Ratified PICO Confirmation, p9</w:t>
        </w:r>
      </w:hyperlink>
      <w:r w:rsidRPr="00474EEB">
        <w:rPr>
          <w:rFonts w:eastAsia="Calibri" w:cs="Arial"/>
          <w:iCs/>
          <w:szCs w:val="22"/>
          <w:lang w:eastAsia="en-US"/>
        </w:rPr>
        <w:t xml:space="preserve">) </w:t>
      </w:r>
      <w:r w:rsidR="0020302E" w:rsidRPr="00474EEB">
        <w:rPr>
          <w:rFonts w:eastAsia="Calibri" w:cs="Arial"/>
          <w:iCs/>
          <w:szCs w:val="22"/>
          <w:lang w:eastAsia="en-US"/>
        </w:rPr>
        <w:t xml:space="preserve">stated </w:t>
      </w:r>
      <w:r w:rsidRPr="00474EEB">
        <w:rPr>
          <w:rFonts w:eastAsia="Calibri" w:cs="Arial"/>
          <w:iCs/>
          <w:szCs w:val="22"/>
          <w:lang w:eastAsia="en-US"/>
        </w:rPr>
        <w:t xml:space="preserve">that if degradation of DNA in the archived specimen has occurred, or if neo-adjuvant chemotherapy </w:t>
      </w:r>
      <w:r w:rsidRPr="00474EEB">
        <w:t>resulted</w:t>
      </w:r>
      <w:r w:rsidRPr="00474EEB">
        <w:rPr>
          <w:rFonts w:eastAsia="Calibri" w:cs="Arial"/>
          <w:iCs/>
          <w:szCs w:val="22"/>
          <w:lang w:eastAsia="en-US"/>
        </w:rPr>
        <w:t xml:space="preserve"> in significant tumour shrinking, and debulking surgery did not provide viable tumour tissue, a re-biopsy maybe required. Moreover, the Ratified PICO included re-biopsy rates as a test-related outcome (</w:t>
      </w:r>
      <w:hyperlink r:id="rId30" w:history="1">
        <w:r w:rsidRPr="00474EEB">
          <w:rPr>
            <w:rFonts w:eastAsia="Calibri" w:cs="Arial"/>
            <w:iCs/>
            <w:color w:val="0000FF"/>
            <w:szCs w:val="22"/>
            <w:u w:val="single"/>
            <w:lang w:eastAsia="en-US"/>
          </w:rPr>
          <w:t>1618 Ratified PICO Confirmation</w:t>
        </w:r>
      </w:hyperlink>
      <w:r w:rsidRPr="00474EEB">
        <w:rPr>
          <w:rFonts w:eastAsia="Calibri" w:cs="Arial"/>
          <w:iCs/>
          <w:szCs w:val="22"/>
          <w:lang w:eastAsia="en-US"/>
        </w:rPr>
        <w:t>, p15).</w:t>
      </w:r>
    </w:p>
    <w:p w14:paraId="7DE9C088" w14:textId="314AD7E7" w:rsidR="00474EEB" w:rsidRPr="00474EEB" w:rsidRDefault="00474EEB" w:rsidP="00474EEB">
      <w:pPr>
        <w:keepNext/>
        <w:spacing w:before="120" w:after="160"/>
        <w:jc w:val="both"/>
        <w:rPr>
          <w:rFonts w:ascii="Arial Narrow" w:hAnsi="Arial Narrow"/>
          <w:b/>
          <w:bCs/>
          <w:sz w:val="20"/>
          <w:lang w:eastAsia="en-GB"/>
        </w:rPr>
      </w:pPr>
      <w:bookmarkStart w:id="4" w:name="_Ref62131151"/>
      <w:r w:rsidRPr="00474EEB">
        <w:rPr>
          <w:rFonts w:ascii="Arial Narrow" w:hAnsi="Arial Narrow"/>
          <w:b/>
          <w:bCs/>
          <w:sz w:val="20"/>
          <w:lang w:eastAsia="en-GB"/>
        </w:rPr>
        <w:lastRenderedPageBreak/>
        <w:t xml:space="preserve">Figure </w:t>
      </w:r>
      <w:r w:rsidRPr="00474EEB">
        <w:rPr>
          <w:rFonts w:ascii="Arial Narrow" w:hAnsi="Arial Narrow"/>
          <w:b/>
          <w:bCs/>
          <w:noProof/>
          <w:sz w:val="20"/>
          <w:lang w:eastAsia="en-GB"/>
        </w:rPr>
        <w:fldChar w:fldCharType="begin"/>
      </w:r>
      <w:r w:rsidRPr="00474EEB">
        <w:rPr>
          <w:rFonts w:ascii="Arial Narrow" w:hAnsi="Arial Narrow"/>
          <w:b/>
          <w:bCs/>
          <w:noProof/>
          <w:sz w:val="20"/>
          <w:lang w:eastAsia="en-GB"/>
        </w:rPr>
        <w:instrText xml:space="preserve"> SEQ Figure \* ARABIC </w:instrText>
      </w:r>
      <w:r w:rsidRPr="00474EEB">
        <w:rPr>
          <w:rFonts w:ascii="Arial Narrow" w:hAnsi="Arial Narrow"/>
          <w:b/>
          <w:bCs/>
          <w:noProof/>
          <w:sz w:val="20"/>
          <w:lang w:eastAsia="en-GB"/>
        </w:rPr>
        <w:fldChar w:fldCharType="separate"/>
      </w:r>
      <w:r w:rsidR="006C2E0B">
        <w:rPr>
          <w:rFonts w:ascii="Arial Narrow" w:hAnsi="Arial Narrow"/>
          <w:b/>
          <w:bCs/>
          <w:noProof/>
          <w:sz w:val="20"/>
          <w:lang w:eastAsia="en-GB"/>
        </w:rPr>
        <w:t>2</w:t>
      </w:r>
      <w:r w:rsidRPr="00474EEB">
        <w:rPr>
          <w:rFonts w:ascii="Arial Narrow" w:hAnsi="Arial Narrow"/>
          <w:b/>
          <w:bCs/>
          <w:noProof/>
          <w:sz w:val="20"/>
          <w:lang w:eastAsia="en-GB"/>
        </w:rPr>
        <w:fldChar w:fldCharType="end"/>
      </w:r>
      <w:bookmarkEnd w:id="4"/>
      <w:r w:rsidRPr="00474EEB">
        <w:rPr>
          <w:rFonts w:ascii="Arial Narrow" w:hAnsi="Arial Narrow"/>
          <w:b/>
          <w:bCs/>
          <w:sz w:val="20"/>
          <w:lang w:eastAsia="en-GB"/>
        </w:rPr>
        <w:tab/>
        <w:t>Current clinical management algorithm</w:t>
      </w:r>
    </w:p>
    <w:p w14:paraId="17460E33" w14:textId="2A03D388" w:rsidR="00474EEB" w:rsidRPr="007C2DC0" w:rsidRDefault="00474EEB" w:rsidP="007C2DC0">
      <w:pPr>
        <w:keepNext/>
        <w:jc w:val="both"/>
        <w:rPr>
          <w:rFonts w:ascii="Calibri" w:hAnsi="Calibri"/>
          <w:szCs w:val="24"/>
          <w:lang w:eastAsia="en-GB"/>
        </w:rPr>
      </w:pPr>
      <w:r w:rsidRPr="00474EEB">
        <w:rPr>
          <w:rFonts w:ascii="Calibri" w:hAnsi="Calibri"/>
          <w:noProof/>
          <w:szCs w:val="24"/>
        </w:rPr>
        <w:drawing>
          <wp:inline distT="0" distB="0" distL="0" distR="0" wp14:anchorId="4B0A9B79" wp14:editId="6305EF8D">
            <wp:extent cx="5731510" cy="3984887"/>
            <wp:effectExtent l="0" t="0" r="0" b="3175"/>
            <wp:docPr id="4" name="Picture 4" descr="Current clinical management algorithm, shows decision pathway for first line and second line treatments after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rrent clinical management algorithm, shows decision pathway for first line and second line treatments after diagnosis."/>
                    <pic:cNvPicPr/>
                  </pic:nvPicPr>
                  <pic:blipFill rotWithShape="1">
                    <a:blip r:embed="rId31"/>
                    <a:srcRect b="1648"/>
                    <a:stretch/>
                  </pic:blipFill>
                  <pic:spPr bwMode="auto">
                    <a:xfrm>
                      <a:off x="0" y="0"/>
                      <a:ext cx="5731510" cy="39848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dh="http://schemas.microsoft.com/office/word/2020/wordml/sdtdatahash"/>
                      </a:ext>
                    </a:extLst>
                  </pic:spPr>
                </pic:pic>
              </a:graphicData>
            </a:graphic>
          </wp:inline>
        </w:drawing>
      </w:r>
      <w:r w:rsidRPr="00474EEB">
        <w:rPr>
          <w:rFonts w:ascii="Arial Narrow" w:hAnsi="Arial Narrow"/>
          <w:sz w:val="18"/>
          <w:szCs w:val="18"/>
          <w:lang w:eastAsia="en-GB"/>
        </w:rPr>
        <w:t>Source: Figure 1-4, p45 of the submission</w:t>
      </w:r>
    </w:p>
    <w:p w14:paraId="759B8A40" w14:textId="77777777" w:rsidR="00474EEB" w:rsidRPr="00474EEB" w:rsidRDefault="00474EEB" w:rsidP="00474EEB">
      <w:pPr>
        <w:spacing w:after="160"/>
        <w:jc w:val="both"/>
        <w:rPr>
          <w:rFonts w:ascii="Arial Narrow" w:hAnsi="Arial Narrow"/>
          <w:sz w:val="18"/>
          <w:szCs w:val="18"/>
          <w:lang w:eastAsia="en-GB"/>
        </w:rPr>
      </w:pPr>
      <w:r w:rsidRPr="00474EEB">
        <w:rPr>
          <w:rFonts w:ascii="Arial Narrow" w:hAnsi="Arial Narrow"/>
          <w:sz w:val="18"/>
          <w:szCs w:val="18"/>
          <w:lang w:eastAsia="en-GB"/>
        </w:rPr>
        <w:t xml:space="preserve">HSPC=hormone sensitive prostate cancer; </w:t>
      </w:r>
      <w:proofErr w:type="spellStart"/>
      <w:r w:rsidRPr="00474EEB">
        <w:rPr>
          <w:rFonts w:ascii="Arial Narrow" w:hAnsi="Arial Narrow"/>
          <w:sz w:val="18"/>
          <w:szCs w:val="18"/>
          <w:lang w:eastAsia="en-GB"/>
        </w:rPr>
        <w:t>mCRPC</w:t>
      </w:r>
      <w:proofErr w:type="spellEnd"/>
      <w:r w:rsidRPr="00474EEB">
        <w:rPr>
          <w:rFonts w:ascii="Arial Narrow" w:hAnsi="Arial Narrow"/>
          <w:sz w:val="18"/>
          <w:szCs w:val="18"/>
          <w:lang w:eastAsia="en-GB"/>
        </w:rPr>
        <w:t>=metastatic castration resistant prostate cancer</w:t>
      </w:r>
    </w:p>
    <w:p w14:paraId="6B139D47" w14:textId="3DCC3C81" w:rsidR="00474EEB" w:rsidRPr="00474EEB" w:rsidRDefault="00474EEB" w:rsidP="007C2DC0">
      <w:pPr>
        <w:keepNext/>
        <w:spacing w:before="120"/>
        <w:jc w:val="both"/>
        <w:rPr>
          <w:rFonts w:ascii="Arial Narrow" w:hAnsi="Arial Narrow"/>
          <w:b/>
          <w:bCs/>
          <w:sz w:val="20"/>
          <w:lang w:eastAsia="en-GB"/>
        </w:rPr>
      </w:pPr>
      <w:bookmarkStart w:id="5" w:name="_Ref62131155"/>
      <w:r w:rsidRPr="00474EEB">
        <w:rPr>
          <w:rFonts w:ascii="Arial Narrow" w:hAnsi="Arial Narrow"/>
          <w:b/>
          <w:bCs/>
          <w:sz w:val="20"/>
          <w:lang w:eastAsia="en-GB"/>
        </w:rPr>
        <w:lastRenderedPageBreak/>
        <w:t xml:space="preserve">Figure </w:t>
      </w:r>
      <w:r w:rsidRPr="00474EEB">
        <w:rPr>
          <w:rFonts w:ascii="Arial Narrow" w:hAnsi="Arial Narrow"/>
          <w:b/>
          <w:bCs/>
          <w:noProof/>
          <w:sz w:val="20"/>
          <w:lang w:eastAsia="en-GB"/>
        </w:rPr>
        <w:fldChar w:fldCharType="begin"/>
      </w:r>
      <w:r w:rsidRPr="00474EEB">
        <w:rPr>
          <w:rFonts w:ascii="Arial Narrow" w:hAnsi="Arial Narrow"/>
          <w:b/>
          <w:bCs/>
          <w:noProof/>
          <w:sz w:val="20"/>
          <w:lang w:eastAsia="en-GB"/>
        </w:rPr>
        <w:instrText xml:space="preserve"> SEQ Figure \* ARABIC </w:instrText>
      </w:r>
      <w:r w:rsidRPr="00474EEB">
        <w:rPr>
          <w:rFonts w:ascii="Arial Narrow" w:hAnsi="Arial Narrow"/>
          <w:b/>
          <w:bCs/>
          <w:noProof/>
          <w:sz w:val="20"/>
          <w:lang w:eastAsia="en-GB"/>
        </w:rPr>
        <w:fldChar w:fldCharType="separate"/>
      </w:r>
      <w:r w:rsidR="006C2E0B">
        <w:rPr>
          <w:rFonts w:ascii="Arial Narrow" w:hAnsi="Arial Narrow"/>
          <w:b/>
          <w:bCs/>
          <w:noProof/>
          <w:sz w:val="20"/>
          <w:lang w:eastAsia="en-GB"/>
        </w:rPr>
        <w:t>3</w:t>
      </w:r>
      <w:r w:rsidRPr="00474EEB">
        <w:rPr>
          <w:rFonts w:ascii="Arial Narrow" w:hAnsi="Arial Narrow"/>
          <w:b/>
          <w:bCs/>
          <w:noProof/>
          <w:sz w:val="20"/>
          <w:lang w:eastAsia="en-GB"/>
        </w:rPr>
        <w:fldChar w:fldCharType="end"/>
      </w:r>
      <w:bookmarkEnd w:id="5"/>
      <w:r w:rsidRPr="00474EEB">
        <w:rPr>
          <w:rFonts w:ascii="Arial Narrow" w:hAnsi="Arial Narrow"/>
          <w:b/>
          <w:bCs/>
          <w:sz w:val="20"/>
          <w:lang w:eastAsia="en-GB"/>
        </w:rPr>
        <w:tab/>
        <w:t>Proposed clinical management algorithm</w:t>
      </w:r>
    </w:p>
    <w:p w14:paraId="225F2603" w14:textId="666CE8F6" w:rsidR="00474EEB" w:rsidRPr="007C2DC0" w:rsidRDefault="00474EEB" w:rsidP="007C2DC0">
      <w:pPr>
        <w:keepNext/>
        <w:spacing w:before="120"/>
        <w:jc w:val="both"/>
        <w:rPr>
          <w:rFonts w:ascii="Calibri" w:hAnsi="Calibri"/>
          <w:szCs w:val="24"/>
          <w:lang w:eastAsia="en-GB"/>
        </w:rPr>
      </w:pPr>
      <w:bookmarkStart w:id="6" w:name="_Toc473615776"/>
      <w:bookmarkStart w:id="7" w:name="_Hlk51667071"/>
      <w:r w:rsidRPr="00474EEB">
        <w:rPr>
          <w:rFonts w:ascii="Calibri" w:hAnsi="Calibri"/>
          <w:noProof/>
          <w:szCs w:val="24"/>
        </w:rPr>
        <w:drawing>
          <wp:inline distT="0" distB="0" distL="0" distR="0" wp14:anchorId="713DDF20" wp14:editId="5BD49599">
            <wp:extent cx="5731510" cy="3977613"/>
            <wp:effectExtent l="0" t="0" r="0" b="0"/>
            <wp:docPr id="7" name="Picture 7" descr="Proposed clinical management algorithm, shows clinical decision pathway for first and second line treatments after diagnosis. Olaparib is added as an alternative second line treatme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posed clinical management algorithm, shows clinical decision pathway for first and second line treatments after diagnosis. Olaparib is added as an alternative second line treatment option."/>
                    <pic:cNvPicPr/>
                  </pic:nvPicPr>
                  <pic:blipFill rotWithShape="1">
                    <a:blip r:embed="rId32"/>
                    <a:srcRect t="1843"/>
                    <a:stretch/>
                  </pic:blipFill>
                  <pic:spPr bwMode="auto">
                    <a:xfrm>
                      <a:off x="0" y="0"/>
                      <a:ext cx="5731510" cy="39776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dh="http://schemas.microsoft.com/office/word/2020/wordml/sdtdatahash"/>
                      </a:ext>
                    </a:extLst>
                  </pic:spPr>
                </pic:pic>
              </a:graphicData>
            </a:graphic>
          </wp:inline>
        </w:drawing>
      </w:r>
      <w:bookmarkEnd w:id="6"/>
      <w:bookmarkEnd w:id="7"/>
      <w:r w:rsidRPr="00474EEB">
        <w:rPr>
          <w:rFonts w:ascii="Arial Narrow" w:hAnsi="Arial Narrow"/>
          <w:sz w:val="18"/>
          <w:szCs w:val="18"/>
          <w:lang w:eastAsia="en-GB"/>
        </w:rPr>
        <w:t>Source: Figure 1-5, p46 of the submission</w:t>
      </w:r>
    </w:p>
    <w:p w14:paraId="78E2C9C0" w14:textId="57908BB6" w:rsidR="00474EEB" w:rsidRPr="00474EEB" w:rsidRDefault="00474EEB" w:rsidP="00474EEB">
      <w:pPr>
        <w:rPr>
          <w:rFonts w:ascii="Arial Narrow" w:hAnsi="Arial Narrow" w:cs="Arial"/>
          <w:snapToGrid w:val="0"/>
          <w:sz w:val="18"/>
          <w:szCs w:val="24"/>
        </w:rPr>
      </w:pPr>
      <w:r w:rsidRPr="00474EEB">
        <w:rPr>
          <w:rFonts w:ascii="Arial Narrow" w:hAnsi="Arial Narrow" w:cs="Arial"/>
          <w:i/>
          <w:snapToGrid w:val="0"/>
          <w:sz w:val="18"/>
          <w:szCs w:val="24"/>
        </w:rPr>
        <w:t>BRCA1/2</w:t>
      </w:r>
      <w:r w:rsidRPr="00474EEB">
        <w:rPr>
          <w:rFonts w:ascii="Arial Narrow" w:hAnsi="Arial Narrow" w:cs="Arial"/>
          <w:snapToGrid w:val="0"/>
          <w:sz w:val="18"/>
          <w:szCs w:val="24"/>
        </w:rPr>
        <w:t xml:space="preserve">=breast cancer genes 1 and 2; HSPC=hormone sensitive prostate cancer; </w:t>
      </w:r>
      <w:proofErr w:type="spellStart"/>
      <w:r w:rsidRPr="00474EEB">
        <w:rPr>
          <w:rFonts w:ascii="Arial Narrow" w:hAnsi="Arial Narrow" w:cs="Arial"/>
          <w:snapToGrid w:val="0"/>
          <w:sz w:val="18"/>
          <w:szCs w:val="24"/>
        </w:rPr>
        <w:t>mCRPC</w:t>
      </w:r>
      <w:proofErr w:type="spellEnd"/>
      <w:r w:rsidRPr="00474EEB">
        <w:rPr>
          <w:rFonts w:ascii="Arial Narrow" w:hAnsi="Arial Narrow" w:cs="Arial"/>
          <w:snapToGrid w:val="0"/>
          <w:sz w:val="18"/>
          <w:szCs w:val="24"/>
        </w:rPr>
        <w:t>=metastatic castration resistant prostate cancer</w:t>
      </w:r>
    </w:p>
    <w:p w14:paraId="2F62B826" w14:textId="588454CB" w:rsidR="00474EEB" w:rsidRPr="00474EEB" w:rsidRDefault="00474EEB" w:rsidP="007C2DC0">
      <w:pPr>
        <w:keepNext/>
        <w:spacing w:before="120"/>
        <w:jc w:val="both"/>
        <w:rPr>
          <w:rFonts w:ascii="Arial Narrow" w:hAnsi="Arial Narrow"/>
          <w:b/>
          <w:bCs/>
          <w:sz w:val="20"/>
          <w:lang w:eastAsia="en-GB"/>
        </w:rPr>
      </w:pPr>
      <w:bookmarkStart w:id="8" w:name="_Ref62131157"/>
      <w:r w:rsidRPr="00474EEB">
        <w:rPr>
          <w:rFonts w:ascii="Arial Narrow" w:hAnsi="Arial Narrow"/>
          <w:b/>
          <w:bCs/>
          <w:sz w:val="20"/>
          <w:lang w:eastAsia="en-GB"/>
        </w:rPr>
        <w:t xml:space="preserve">Figure </w:t>
      </w:r>
      <w:r w:rsidRPr="00474EEB">
        <w:rPr>
          <w:rFonts w:ascii="Arial Narrow" w:hAnsi="Arial Narrow"/>
          <w:b/>
          <w:bCs/>
          <w:noProof/>
          <w:sz w:val="20"/>
          <w:lang w:eastAsia="en-GB"/>
        </w:rPr>
        <w:fldChar w:fldCharType="begin"/>
      </w:r>
      <w:r w:rsidRPr="00474EEB">
        <w:rPr>
          <w:rFonts w:ascii="Arial Narrow" w:hAnsi="Arial Narrow"/>
          <w:b/>
          <w:bCs/>
          <w:noProof/>
          <w:sz w:val="20"/>
          <w:lang w:eastAsia="en-GB"/>
        </w:rPr>
        <w:instrText xml:space="preserve"> SEQ Figure \* ARABIC </w:instrText>
      </w:r>
      <w:r w:rsidRPr="00474EEB">
        <w:rPr>
          <w:rFonts w:ascii="Arial Narrow" w:hAnsi="Arial Narrow"/>
          <w:b/>
          <w:bCs/>
          <w:noProof/>
          <w:sz w:val="20"/>
          <w:lang w:eastAsia="en-GB"/>
        </w:rPr>
        <w:fldChar w:fldCharType="separate"/>
      </w:r>
      <w:r w:rsidR="006C2E0B">
        <w:rPr>
          <w:rFonts w:ascii="Arial Narrow" w:hAnsi="Arial Narrow"/>
          <w:b/>
          <w:bCs/>
          <w:noProof/>
          <w:sz w:val="20"/>
          <w:lang w:eastAsia="en-GB"/>
        </w:rPr>
        <w:t>4</w:t>
      </w:r>
      <w:r w:rsidRPr="00474EEB">
        <w:rPr>
          <w:rFonts w:ascii="Arial Narrow" w:hAnsi="Arial Narrow"/>
          <w:b/>
          <w:bCs/>
          <w:noProof/>
          <w:sz w:val="20"/>
          <w:lang w:eastAsia="en-GB"/>
        </w:rPr>
        <w:fldChar w:fldCharType="end"/>
      </w:r>
      <w:bookmarkEnd w:id="8"/>
      <w:r w:rsidRPr="00474EEB">
        <w:rPr>
          <w:rFonts w:ascii="Arial Narrow" w:hAnsi="Arial Narrow"/>
          <w:b/>
          <w:bCs/>
          <w:sz w:val="20"/>
          <w:lang w:eastAsia="en-GB"/>
        </w:rPr>
        <w:tab/>
        <w:t>Germline and cascade testing – flow on consequences</w:t>
      </w:r>
    </w:p>
    <w:p w14:paraId="0B3E37E6" w14:textId="294B560F" w:rsidR="00474EEB" w:rsidRPr="007C2DC0" w:rsidRDefault="00474EEB" w:rsidP="007C2DC0">
      <w:pPr>
        <w:spacing w:before="120"/>
        <w:jc w:val="both"/>
        <w:rPr>
          <w:rFonts w:ascii="Calibri" w:hAnsi="Calibri"/>
          <w:szCs w:val="24"/>
          <w:lang w:eastAsia="en-GB"/>
        </w:rPr>
      </w:pPr>
      <w:r w:rsidRPr="00474EEB">
        <w:rPr>
          <w:rFonts w:ascii="Calibri" w:hAnsi="Calibri"/>
          <w:noProof/>
          <w:szCs w:val="24"/>
        </w:rPr>
        <w:drawing>
          <wp:inline distT="0" distB="0" distL="0" distR="0" wp14:anchorId="0D4169A9" wp14:editId="003231BB">
            <wp:extent cx="5730894" cy="3892550"/>
            <wp:effectExtent l="0" t="0" r="3175" b="0"/>
            <wp:docPr id="10" name="Picture 10" descr="Germline and cascade testing – flow on con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731624" cy="389304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dh="http://schemas.microsoft.com/office/word/2020/wordml/sdtdatahash"/>
                      </a:ext>
                    </a:extLst>
                  </pic:spPr>
                </pic:pic>
              </a:graphicData>
            </a:graphic>
          </wp:inline>
        </w:drawing>
      </w:r>
      <w:r w:rsidRPr="00474EEB">
        <w:rPr>
          <w:rFonts w:ascii="Arial Narrow" w:hAnsi="Arial Narrow" w:cs="Arial"/>
          <w:snapToGrid w:val="0"/>
          <w:sz w:val="18"/>
          <w:szCs w:val="22"/>
        </w:rPr>
        <w:t>Source: Figure 1-3, p43 of the submission</w:t>
      </w:r>
    </w:p>
    <w:p w14:paraId="6CF32F9E" w14:textId="77777777" w:rsidR="00474EEB" w:rsidRPr="00474EEB" w:rsidRDefault="00474EEB" w:rsidP="00474EEB">
      <w:pPr>
        <w:spacing w:after="120"/>
        <w:contextualSpacing/>
        <w:jc w:val="both"/>
        <w:rPr>
          <w:rFonts w:ascii="Arial Narrow" w:hAnsi="Arial Narrow" w:cs="Arial"/>
          <w:b/>
          <w:bCs/>
          <w:snapToGrid w:val="0"/>
          <w:sz w:val="20"/>
        </w:rPr>
      </w:pPr>
      <w:r w:rsidRPr="00474EEB">
        <w:rPr>
          <w:rFonts w:ascii="Arial Narrow" w:hAnsi="Arial Narrow" w:cs="Arial"/>
          <w:i/>
          <w:snapToGrid w:val="0"/>
          <w:sz w:val="18"/>
          <w:szCs w:val="22"/>
        </w:rPr>
        <w:t>BRCA1/2</w:t>
      </w:r>
      <w:r w:rsidRPr="00474EEB">
        <w:rPr>
          <w:rFonts w:ascii="Arial Narrow" w:hAnsi="Arial Narrow" w:cs="Arial"/>
          <w:snapToGrid w:val="0"/>
          <w:sz w:val="18"/>
          <w:szCs w:val="22"/>
        </w:rPr>
        <w:t>=breast cancer genes 1 and 2</w:t>
      </w:r>
      <w:r w:rsidRPr="00474EEB">
        <w:rPr>
          <w:rFonts w:ascii="ArialNarrow" w:hAnsi="ArialNarrow" w:cs="Arial"/>
          <w:snapToGrid w:val="0"/>
          <w:sz w:val="18"/>
          <w:szCs w:val="22"/>
        </w:rPr>
        <w:t xml:space="preserve">; </w:t>
      </w:r>
      <w:proofErr w:type="spellStart"/>
      <w:r w:rsidRPr="00474EEB">
        <w:rPr>
          <w:rFonts w:ascii="Arial Narrow" w:hAnsi="Arial Narrow" w:cs="Arial"/>
          <w:snapToGrid w:val="0"/>
          <w:sz w:val="18"/>
          <w:szCs w:val="22"/>
        </w:rPr>
        <w:t>mCRPC</w:t>
      </w:r>
      <w:proofErr w:type="spellEnd"/>
      <w:r w:rsidRPr="00474EEB">
        <w:rPr>
          <w:rFonts w:ascii="Arial Narrow" w:hAnsi="Arial Narrow" w:cs="Arial"/>
          <w:snapToGrid w:val="0"/>
          <w:sz w:val="18"/>
          <w:szCs w:val="22"/>
        </w:rPr>
        <w:t>=metastatic castration resistant prostate cancer</w:t>
      </w:r>
    </w:p>
    <w:p w14:paraId="4876C206" w14:textId="2BEBA5C5" w:rsidR="00BC1364" w:rsidRPr="00F715D1" w:rsidRDefault="009D5CBA" w:rsidP="00F715D1">
      <w:pPr>
        <w:pStyle w:val="Heading1"/>
      </w:pPr>
      <w:r>
        <w:lastRenderedPageBreak/>
        <w:t>Comparator</w:t>
      </w:r>
    </w:p>
    <w:p w14:paraId="0EFE4350" w14:textId="2D112320" w:rsidR="00DD13A3" w:rsidRPr="00D3430D" w:rsidRDefault="00DD13A3" w:rsidP="00DD13A3">
      <w:pPr>
        <w:rPr>
          <w:rFonts w:eastAsia="Calibri" w:cs="Arial"/>
          <w:i/>
          <w:iCs/>
          <w:szCs w:val="22"/>
          <w:lang w:eastAsia="en-US"/>
        </w:rPr>
      </w:pPr>
      <w:r w:rsidRPr="00D3430D">
        <w:rPr>
          <w:rFonts w:eastAsia="Calibri" w:cs="Arial"/>
          <w:szCs w:val="22"/>
          <w:lang w:eastAsia="en-US"/>
        </w:rPr>
        <w:t xml:space="preserve">The main comparator for testing of </w:t>
      </w:r>
      <w:r w:rsidRPr="00D3430D">
        <w:rPr>
          <w:rFonts w:eastAsia="Calibri" w:cs="Arial"/>
          <w:i/>
          <w:iCs/>
          <w:szCs w:val="22"/>
          <w:lang w:eastAsia="en-US"/>
        </w:rPr>
        <w:t>BRCA1/2</w:t>
      </w:r>
      <w:r w:rsidRPr="00D3430D">
        <w:rPr>
          <w:rFonts w:eastAsia="Calibri" w:cs="Arial"/>
          <w:szCs w:val="22"/>
          <w:lang w:eastAsia="en-US"/>
        </w:rPr>
        <w:t xml:space="preserve"> pathogenic </w:t>
      </w:r>
      <w:r w:rsidR="00F97785">
        <w:t xml:space="preserve">gene </w:t>
      </w:r>
      <w:r w:rsidRPr="00D3430D">
        <w:rPr>
          <w:rFonts w:eastAsia="Calibri" w:cs="Arial"/>
          <w:szCs w:val="22"/>
          <w:lang w:eastAsia="en-US"/>
        </w:rPr>
        <w:t xml:space="preserve">variants in patients with </w:t>
      </w:r>
      <w:proofErr w:type="spellStart"/>
      <w:r w:rsidRPr="00D3430D">
        <w:rPr>
          <w:rFonts w:eastAsia="Calibri" w:cs="Arial"/>
          <w:szCs w:val="22"/>
          <w:lang w:eastAsia="en-US"/>
        </w:rPr>
        <w:t>mCRPC</w:t>
      </w:r>
      <w:proofErr w:type="spellEnd"/>
      <w:r w:rsidRPr="00D3430D">
        <w:rPr>
          <w:rFonts w:eastAsia="Calibri" w:cs="Arial"/>
          <w:szCs w:val="22"/>
          <w:lang w:eastAsia="en-US"/>
        </w:rPr>
        <w:t xml:space="preserve"> was no genetic testing. </w:t>
      </w:r>
      <w:r w:rsidRPr="00D3430D">
        <w:rPr>
          <w:rFonts w:eastAsia="Calibri" w:cs="Arial"/>
          <w:iCs/>
          <w:szCs w:val="22"/>
          <w:lang w:eastAsia="en-US"/>
        </w:rPr>
        <w:t>This</w:t>
      </w:r>
      <w:r w:rsidRPr="00D3430D">
        <w:rPr>
          <w:rFonts w:eastAsia="Calibri" w:cs="Arial"/>
          <w:szCs w:val="22"/>
          <w:lang w:eastAsia="en-US"/>
        </w:rPr>
        <w:t xml:space="preserve"> was </w:t>
      </w:r>
      <w:r w:rsidRPr="007C6078">
        <w:t>confirmed</w:t>
      </w:r>
      <w:r w:rsidRPr="00D3430D">
        <w:rPr>
          <w:rFonts w:eastAsia="Calibri" w:cs="Arial"/>
          <w:szCs w:val="22"/>
          <w:lang w:eastAsia="en-US"/>
        </w:rPr>
        <w:t xml:space="preserve"> by </w:t>
      </w:r>
      <w:r w:rsidRPr="00D3430D">
        <w:rPr>
          <w:rFonts w:eastAsia="Calibri" w:cs="Arial"/>
          <w:iCs/>
          <w:szCs w:val="22"/>
          <w:lang w:eastAsia="en-US"/>
        </w:rPr>
        <w:t>PASC as appropriate (</w:t>
      </w:r>
      <w:hyperlink r:id="rId34" w:history="1">
        <w:r w:rsidRPr="00D3430D">
          <w:rPr>
            <w:rFonts w:eastAsia="Calibri" w:cs="Arial"/>
            <w:iCs/>
            <w:color w:val="0000FF"/>
            <w:szCs w:val="22"/>
            <w:u w:val="single"/>
            <w:lang w:eastAsia="en-US"/>
          </w:rPr>
          <w:t>Ratified PICO</w:t>
        </w:r>
      </w:hyperlink>
      <w:r w:rsidRPr="00D3430D">
        <w:rPr>
          <w:rFonts w:eastAsia="Calibri" w:cs="Arial"/>
          <w:iCs/>
          <w:szCs w:val="22"/>
          <w:lang w:eastAsia="en-US"/>
        </w:rPr>
        <w:t>, p13).</w:t>
      </w:r>
    </w:p>
    <w:p w14:paraId="4B691374" w14:textId="77777777" w:rsidR="00BC1364" w:rsidRPr="00F715D1" w:rsidRDefault="00BC1364" w:rsidP="00F715D1">
      <w:pPr>
        <w:pStyle w:val="Heading1"/>
      </w:pPr>
      <w:r w:rsidRPr="00F715D1">
        <w:t>Comparative safety</w:t>
      </w:r>
    </w:p>
    <w:p w14:paraId="191C163F" w14:textId="1B8505EE" w:rsidR="00DD13A3" w:rsidRPr="00DD13A3" w:rsidRDefault="00DD13A3" w:rsidP="00DD13A3">
      <w:pPr>
        <w:rPr>
          <w:rFonts w:eastAsia="Calibri" w:cs="Arial"/>
          <w:szCs w:val="22"/>
          <w:lang w:eastAsia="en-US"/>
        </w:rPr>
      </w:pPr>
      <w:r w:rsidRPr="00DD13A3">
        <w:rPr>
          <w:rFonts w:eastAsia="Calibri" w:cs="Arial"/>
          <w:szCs w:val="22"/>
          <w:lang w:eastAsia="en-US"/>
        </w:rPr>
        <w:t xml:space="preserve">The approach taken in the submission was to present </w:t>
      </w:r>
      <w:r w:rsidR="004D1E22">
        <w:rPr>
          <w:rFonts w:eastAsia="Calibri" w:cs="Arial"/>
          <w:szCs w:val="22"/>
          <w:lang w:eastAsia="en-US"/>
        </w:rPr>
        <w:t xml:space="preserve">a linked </w:t>
      </w:r>
      <w:r w:rsidRPr="00DD13A3">
        <w:t>evidence</w:t>
      </w:r>
      <w:r w:rsidRPr="00DD13A3">
        <w:rPr>
          <w:rFonts w:eastAsia="Calibri" w:cs="Arial"/>
          <w:szCs w:val="22"/>
          <w:lang w:eastAsia="en-US"/>
        </w:rPr>
        <w:t xml:space="preserve"> </w:t>
      </w:r>
      <w:r w:rsidR="004D1E22">
        <w:rPr>
          <w:rFonts w:eastAsia="Calibri" w:cs="Arial"/>
          <w:szCs w:val="22"/>
          <w:lang w:eastAsia="en-US"/>
        </w:rPr>
        <w:t>approach</w:t>
      </w:r>
      <w:r w:rsidRPr="00DD13A3">
        <w:rPr>
          <w:rFonts w:eastAsia="Calibri" w:cs="Arial"/>
          <w:szCs w:val="22"/>
          <w:lang w:eastAsia="en-US"/>
        </w:rPr>
        <w:t xml:space="preserve"> to support </w:t>
      </w:r>
      <w:r w:rsidR="004D1E22">
        <w:rPr>
          <w:rFonts w:eastAsia="Calibri" w:cs="Arial"/>
          <w:szCs w:val="22"/>
          <w:lang w:eastAsia="en-US"/>
        </w:rPr>
        <w:t>its</w:t>
      </w:r>
      <w:r w:rsidRPr="00DD13A3">
        <w:rPr>
          <w:rFonts w:eastAsia="Calibri" w:cs="Arial"/>
          <w:szCs w:val="22"/>
          <w:lang w:eastAsia="en-US"/>
        </w:rPr>
        <w:t xml:space="preserve"> contention that olaparib will improve survival in patients with </w:t>
      </w:r>
      <w:proofErr w:type="spellStart"/>
      <w:r w:rsidRPr="00DD13A3">
        <w:rPr>
          <w:rFonts w:eastAsia="Calibri" w:cs="Arial"/>
          <w:szCs w:val="22"/>
          <w:lang w:eastAsia="en-US"/>
        </w:rPr>
        <w:t>mCRPC</w:t>
      </w:r>
      <w:proofErr w:type="spellEnd"/>
      <w:r w:rsidR="004D1E22">
        <w:rPr>
          <w:rFonts w:eastAsia="Calibri" w:cs="Arial"/>
          <w:szCs w:val="22"/>
          <w:lang w:eastAsia="en-US"/>
        </w:rPr>
        <w:t xml:space="preserve"> when </w:t>
      </w:r>
      <w:r w:rsidR="004D1E22" w:rsidRPr="00DD13A3">
        <w:rPr>
          <w:rFonts w:eastAsia="Calibri" w:cs="Arial"/>
          <w:szCs w:val="22"/>
          <w:lang w:eastAsia="en-US"/>
        </w:rPr>
        <w:t>target</w:t>
      </w:r>
      <w:r w:rsidR="004D1E22">
        <w:rPr>
          <w:rFonts w:eastAsia="Calibri" w:cs="Arial"/>
          <w:szCs w:val="22"/>
          <w:lang w:eastAsia="en-US"/>
        </w:rPr>
        <w:t xml:space="preserve">ed to those patients with </w:t>
      </w:r>
      <w:r w:rsidR="004D1E22" w:rsidRPr="00DD13A3">
        <w:rPr>
          <w:rFonts w:eastAsia="Calibri" w:cs="Arial"/>
          <w:i/>
          <w:szCs w:val="22"/>
          <w:lang w:eastAsia="en-US"/>
        </w:rPr>
        <w:t>BRCA1/2</w:t>
      </w:r>
      <w:r w:rsidR="004D1E22" w:rsidRPr="00DD13A3">
        <w:rPr>
          <w:rFonts w:eastAsia="Calibri" w:cs="Arial"/>
          <w:szCs w:val="22"/>
          <w:lang w:eastAsia="en-US"/>
        </w:rPr>
        <w:t xml:space="preserve"> pathogenic </w:t>
      </w:r>
      <w:r w:rsidR="00F97785" w:rsidRPr="00F97785">
        <w:rPr>
          <w:rFonts w:eastAsia="Calibri" w:cs="Arial"/>
          <w:szCs w:val="22"/>
          <w:lang w:eastAsia="en-US"/>
        </w:rPr>
        <w:t xml:space="preserve">gene </w:t>
      </w:r>
      <w:r w:rsidR="004D1E22" w:rsidRPr="00DD13A3">
        <w:rPr>
          <w:rFonts w:eastAsia="Calibri" w:cs="Arial"/>
          <w:szCs w:val="22"/>
          <w:lang w:eastAsia="en-US"/>
        </w:rPr>
        <w:t>variants</w:t>
      </w:r>
      <w:r w:rsidR="004D1E22">
        <w:rPr>
          <w:rFonts w:eastAsia="Calibri" w:cs="Arial"/>
          <w:szCs w:val="22"/>
          <w:lang w:eastAsia="en-US"/>
        </w:rPr>
        <w:t xml:space="preserve"> in their tumours</w:t>
      </w:r>
      <w:r w:rsidRPr="00DD13A3">
        <w:rPr>
          <w:rFonts w:eastAsia="Calibri" w:cs="Arial"/>
          <w:szCs w:val="22"/>
          <w:lang w:eastAsia="en-US"/>
        </w:rPr>
        <w:t>.</w:t>
      </w:r>
    </w:p>
    <w:p w14:paraId="1842018A" w14:textId="1EF2E775" w:rsidR="00DD13A3" w:rsidRPr="00DD13A3" w:rsidRDefault="00DD13A3" w:rsidP="007C2DC0">
      <w:pPr>
        <w:spacing w:before="240"/>
        <w:rPr>
          <w:rFonts w:eastAsia="Calibri" w:cs="Arial"/>
          <w:iCs/>
          <w:szCs w:val="22"/>
          <w:lang w:eastAsia="en-US"/>
        </w:rPr>
      </w:pPr>
      <w:r w:rsidRPr="00DD13A3">
        <w:rPr>
          <w:rFonts w:eastAsia="Calibri" w:cs="Arial"/>
          <w:iCs/>
          <w:szCs w:val="22"/>
          <w:lang w:eastAsia="en-US"/>
        </w:rPr>
        <w:t>The ratified PICO (</w:t>
      </w:r>
      <w:hyperlink r:id="rId35" w:history="1">
        <w:r w:rsidRPr="00DD13A3">
          <w:rPr>
            <w:rFonts w:eastAsia="Calibri" w:cs="Arial"/>
            <w:iCs/>
            <w:color w:val="0000FF"/>
            <w:szCs w:val="22"/>
            <w:u w:val="single"/>
            <w:lang w:eastAsia="en-US"/>
          </w:rPr>
          <w:t>1618 Ratified PICO Confirmation, p9</w:t>
        </w:r>
      </w:hyperlink>
      <w:r w:rsidRPr="00DD13A3">
        <w:rPr>
          <w:rFonts w:eastAsia="Calibri" w:cs="Arial"/>
          <w:iCs/>
          <w:szCs w:val="22"/>
          <w:lang w:eastAsia="en-US"/>
        </w:rPr>
        <w:t xml:space="preserve">) stated that the evidence for the </w:t>
      </w:r>
      <w:proofErr w:type="spellStart"/>
      <w:r w:rsidRPr="00DD13A3">
        <w:t>codependency</w:t>
      </w:r>
      <w:proofErr w:type="spellEnd"/>
      <w:r w:rsidRPr="00DD13A3">
        <w:rPr>
          <w:rFonts w:eastAsia="Calibri" w:cs="Arial"/>
          <w:iCs/>
          <w:szCs w:val="22"/>
          <w:lang w:eastAsia="en-US"/>
        </w:rPr>
        <w:t xml:space="preserve"> submission should include the proposed test and a comparison to alternative options available in Australia, including information on the assay (panel) used, the type of tumour tissue, and the processing of the tissue.</w:t>
      </w:r>
    </w:p>
    <w:p w14:paraId="7070D5E2" w14:textId="32415354" w:rsidR="00DD13A3" w:rsidRPr="00DD13A3" w:rsidRDefault="00DD13A3" w:rsidP="007C2DC0">
      <w:pPr>
        <w:spacing w:before="240"/>
        <w:rPr>
          <w:rFonts w:eastAsia="Calibri" w:cs="Arial"/>
          <w:iCs/>
          <w:szCs w:val="22"/>
          <w:lang w:eastAsia="en-US"/>
        </w:rPr>
      </w:pPr>
      <w:r w:rsidRPr="00DD13A3">
        <w:rPr>
          <w:rFonts w:eastAsia="Calibri" w:cs="Arial"/>
          <w:iCs/>
          <w:szCs w:val="22"/>
          <w:lang w:eastAsia="en-US"/>
        </w:rPr>
        <w:t xml:space="preserve">The </w:t>
      </w:r>
      <w:proofErr w:type="spellStart"/>
      <w:r w:rsidRPr="00DD13A3">
        <w:rPr>
          <w:rFonts w:eastAsia="Calibri" w:cs="Arial"/>
          <w:iCs/>
          <w:szCs w:val="22"/>
          <w:lang w:eastAsia="en-US"/>
        </w:rPr>
        <w:t>PROfound</w:t>
      </w:r>
      <w:proofErr w:type="spellEnd"/>
      <w:r w:rsidRPr="00DD13A3">
        <w:rPr>
          <w:rFonts w:eastAsia="Calibri" w:cs="Arial"/>
          <w:iCs/>
          <w:szCs w:val="22"/>
          <w:lang w:eastAsia="en-US"/>
        </w:rPr>
        <w:t xml:space="preserve"> CSR stated that all patients must have had a qualifying HRR mutation </w:t>
      </w:r>
      <w:r w:rsidR="00452139">
        <w:t xml:space="preserve">[variant] </w:t>
      </w:r>
      <w:r w:rsidRPr="00DD13A3">
        <w:rPr>
          <w:rFonts w:eastAsia="Calibri" w:cs="Arial"/>
          <w:iCs/>
          <w:szCs w:val="22"/>
          <w:lang w:eastAsia="en-US"/>
        </w:rPr>
        <w:t xml:space="preserve">assessed via the Foundation Medicine Inc. Clinical Trial </w:t>
      </w:r>
      <w:r w:rsidRPr="00DD13A3">
        <w:t>Improvement</w:t>
      </w:r>
      <w:r w:rsidRPr="00DD13A3">
        <w:rPr>
          <w:rFonts w:eastAsia="Calibri" w:cs="Arial"/>
          <w:iCs/>
          <w:szCs w:val="22"/>
          <w:lang w:eastAsia="en-US"/>
        </w:rPr>
        <w:t xml:space="preserve"> Amendments (CLIA) HRR clinical trial assay (CTA). The submission did not provide any </w:t>
      </w:r>
      <w:r w:rsidR="008423D9">
        <w:rPr>
          <w:rFonts w:eastAsia="Calibri" w:cs="Arial"/>
          <w:iCs/>
          <w:szCs w:val="22"/>
          <w:lang w:eastAsia="en-US"/>
        </w:rPr>
        <w:t xml:space="preserve">further </w:t>
      </w:r>
      <w:r w:rsidRPr="00DD13A3">
        <w:rPr>
          <w:rFonts w:eastAsia="Calibri" w:cs="Arial"/>
          <w:iCs/>
          <w:szCs w:val="22"/>
          <w:lang w:eastAsia="en-US"/>
        </w:rPr>
        <w:t xml:space="preserve">information on this evidentiary standard test (i.e., the test option used in the generation of evidence of clinical utility), and only presented data on the proposed test, </w:t>
      </w:r>
      <w:proofErr w:type="spellStart"/>
      <w:r w:rsidRPr="00DD13A3">
        <w:rPr>
          <w:rFonts w:eastAsia="Calibri" w:cs="Arial"/>
          <w:iCs/>
          <w:szCs w:val="22"/>
          <w:lang w:eastAsia="en-US"/>
        </w:rPr>
        <w:t>FoundationOne</w:t>
      </w:r>
      <w:r w:rsidRPr="00DD13A3">
        <w:rPr>
          <w:rFonts w:eastAsia="Calibri" w:cs="Arial"/>
          <w:iCs/>
          <w:szCs w:val="22"/>
          <w:vertAlign w:val="superscript"/>
          <w:lang w:eastAsia="en-US"/>
        </w:rPr>
        <w:t>®</w:t>
      </w:r>
      <w:r w:rsidRPr="00DD13A3">
        <w:rPr>
          <w:rFonts w:eastAsia="Calibri" w:cs="Arial"/>
          <w:iCs/>
          <w:szCs w:val="22"/>
          <w:lang w:eastAsia="en-US"/>
        </w:rPr>
        <w:t>CDx</w:t>
      </w:r>
      <w:proofErr w:type="spellEnd"/>
      <w:r w:rsidRPr="00DD13A3">
        <w:rPr>
          <w:rFonts w:eastAsia="Calibri" w:cs="Arial"/>
          <w:iCs/>
          <w:szCs w:val="22"/>
          <w:lang w:eastAsia="en-US"/>
        </w:rPr>
        <w:t xml:space="preserve"> (F1CDx), which was used in a subset of trial patients (n=376). Nevertheless, the TGA delegate stated that exploratory efficacy analyses indicated consistent results for the confirmed Foundation Medicine Inc. F1CDx subgroup and the ITT population, and stated that F1CDx was an appropriate companion diagnostic for this indication.</w:t>
      </w:r>
    </w:p>
    <w:p w14:paraId="56D2F2CC" w14:textId="51FD475F" w:rsidR="00DD13A3" w:rsidRPr="00DD13A3" w:rsidRDefault="00DD13A3" w:rsidP="007C2DC0">
      <w:pPr>
        <w:spacing w:before="240"/>
        <w:rPr>
          <w:rFonts w:eastAsia="Calibri" w:cs="Arial"/>
          <w:iCs/>
          <w:szCs w:val="22"/>
          <w:lang w:eastAsia="en-US"/>
        </w:rPr>
      </w:pPr>
      <w:r w:rsidRPr="00DD13A3">
        <w:rPr>
          <w:rFonts w:eastAsia="Calibri" w:cs="Arial"/>
          <w:iCs/>
          <w:szCs w:val="22"/>
          <w:lang w:eastAsia="en-US"/>
        </w:rPr>
        <w:t xml:space="preserve">The submission presented two NGS-based tests but did not compare them to </w:t>
      </w:r>
      <w:r w:rsidRPr="00DD13A3">
        <w:t>each</w:t>
      </w:r>
      <w:r w:rsidRPr="00DD13A3">
        <w:rPr>
          <w:rFonts w:eastAsia="Calibri" w:cs="Arial"/>
          <w:iCs/>
          <w:szCs w:val="22"/>
          <w:lang w:eastAsia="en-US"/>
        </w:rPr>
        <w:t xml:space="preserve"> other:</w:t>
      </w:r>
    </w:p>
    <w:p w14:paraId="75B9683A" w14:textId="39D7600E" w:rsidR="00DD13A3" w:rsidRPr="00DD13A3" w:rsidRDefault="00DD13A3" w:rsidP="006C2E0B">
      <w:pPr>
        <w:numPr>
          <w:ilvl w:val="0"/>
          <w:numId w:val="30"/>
        </w:numPr>
        <w:spacing w:before="120" w:after="120"/>
        <w:contextualSpacing/>
        <w:rPr>
          <w:rFonts w:eastAsia="Calibri" w:cs="Arial"/>
          <w:iCs/>
          <w:szCs w:val="22"/>
          <w:lang w:eastAsia="en-US"/>
        </w:rPr>
      </w:pPr>
      <w:proofErr w:type="spellStart"/>
      <w:r w:rsidRPr="00DD13A3">
        <w:rPr>
          <w:rFonts w:eastAsia="Calibri" w:cs="Arial"/>
          <w:iCs/>
          <w:szCs w:val="22"/>
          <w:lang w:eastAsia="en-US"/>
        </w:rPr>
        <w:t>FoundationOne</w:t>
      </w:r>
      <w:r w:rsidRPr="00DD13A3">
        <w:rPr>
          <w:rFonts w:eastAsia="Calibri" w:cs="Arial"/>
          <w:iCs/>
          <w:szCs w:val="22"/>
          <w:vertAlign w:val="superscript"/>
          <w:lang w:eastAsia="en-US"/>
        </w:rPr>
        <w:t>®</w:t>
      </w:r>
      <w:r w:rsidRPr="00DD13A3">
        <w:rPr>
          <w:rFonts w:eastAsia="Calibri" w:cs="Arial"/>
          <w:iCs/>
          <w:szCs w:val="22"/>
          <w:lang w:eastAsia="en-US"/>
        </w:rPr>
        <w:t>CDx</w:t>
      </w:r>
      <w:proofErr w:type="spellEnd"/>
      <w:r w:rsidRPr="00DD13A3">
        <w:rPr>
          <w:rFonts w:eastAsia="Calibri" w:cs="Arial"/>
          <w:iCs/>
          <w:szCs w:val="22"/>
          <w:lang w:eastAsia="en-US"/>
        </w:rPr>
        <w:t xml:space="preserve"> (F1CDx) is an NGS-based gene panel that uses the Illumina</w:t>
      </w:r>
      <w:r w:rsidRPr="00DD13A3">
        <w:rPr>
          <w:rFonts w:eastAsia="Calibri" w:cs="Arial"/>
          <w:iCs/>
          <w:szCs w:val="22"/>
          <w:vertAlign w:val="superscript"/>
          <w:lang w:eastAsia="en-US"/>
        </w:rPr>
        <w:t>®</w:t>
      </w:r>
      <w:r w:rsidRPr="00DD13A3">
        <w:rPr>
          <w:rFonts w:eastAsia="Calibri" w:cs="Arial"/>
          <w:iCs/>
          <w:szCs w:val="22"/>
          <w:lang w:eastAsia="en-US"/>
        </w:rPr>
        <w:t xml:space="preserve"> </w:t>
      </w:r>
      <w:proofErr w:type="spellStart"/>
      <w:r w:rsidRPr="00DD13A3">
        <w:rPr>
          <w:rFonts w:eastAsia="Calibri" w:cs="Arial"/>
          <w:iCs/>
          <w:szCs w:val="22"/>
          <w:lang w:eastAsia="en-US"/>
        </w:rPr>
        <w:t>HiSeq</w:t>
      </w:r>
      <w:proofErr w:type="spellEnd"/>
      <w:r w:rsidRPr="00DD13A3">
        <w:rPr>
          <w:rFonts w:eastAsia="Calibri" w:cs="Arial"/>
          <w:iCs/>
          <w:szCs w:val="22"/>
          <w:lang w:eastAsia="en-US"/>
        </w:rPr>
        <w:t xml:space="preserve"> 4000 sequencing platform for detection of pathologic HRR gene alterations (including </w:t>
      </w:r>
      <w:r w:rsidRPr="00DD13A3">
        <w:rPr>
          <w:rFonts w:eastAsia="Calibri" w:cs="Arial"/>
          <w:i/>
          <w:iCs/>
          <w:szCs w:val="22"/>
          <w:lang w:eastAsia="en-US"/>
        </w:rPr>
        <w:t>BRCA1/2</w:t>
      </w:r>
      <w:r w:rsidRPr="00DD13A3">
        <w:rPr>
          <w:rFonts w:eastAsia="Calibri" w:cs="Arial"/>
          <w:iCs/>
          <w:szCs w:val="22"/>
          <w:lang w:eastAsia="en-US"/>
        </w:rPr>
        <w:t xml:space="preserve"> </w:t>
      </w:r>
      <w:r w:rsidR="00F97785">
        <w:rPr>
          <w:rFonts w:eastAsia="Calibri" w:cs="Arial"/>
          <w:iCs/>
          <w:szCs w:val="22"/>
          <w:lang w:eastAsia="en-US"/>
        </w:rPr>
        <w:t>gene</w:t>
      </w:r>
      <w:r w:rsidR="00F97785" w:rsidRPr="00DD13A3">
        <w:rPr>
          <w:rFonts w:eastAsia="Calibri" w:cs="Arial"/>
          <w:iCs/>
          <w:szCs w:val="22"/>
          <w:lang w:eastAsia="en-US"/>
        </w:rPr>
        <w:t xml:space="preserve"> </w:t>
      </w:r>
      <w:r w:rsidRPr="00DD13A3">
        <w:rPr>
          <w:rFonts w:eastAsia="Calibri" w:cs="Arial"/>
          <w:iCs/>
          <w:szCs w:val="22"/>
          <w:lang w:eastAsia="en-US"/>
        </w:rPr>
        <w:t xml:space="preserve">variants) in DNA isolated from formalin-fixed, paraffin embedded (FFPE) prostate tissue. This was the test used in the </w:t>
      </w:r>
      <w:proofErr w:type="spellStart"/>
      <w:r w:rsidRPr="00DD13A3">
        <w:rPr>
          <w:rFonts w:eastAsia="Calibri" w:cs="Arial"/>
          <w:iCs/>
          <w:szCs w:val="22"/>
          <w:lang w:eastAsia="en-US"/>
        </w:rPr>
        <w:t>PROfound</w:t>
      </w:r>
      <w:proofErr w:type="spellEnd"/>
      <w:r w:rsidRPr="00DD13A3">
        <w:rPr>
          <w:rFonts w:eastAsia="Calibri" w:cs="Arial"/>
          <w:iCs/>
          <w:szCs w:val="22"/>
          <w:lang w:eastAsia="en-US"/>
        </w:rPr>
        <w:t xml:space="preserve"> trial (i.e. the evidentiary standard).</w:t>
      </w:r>
    </w:p>
    <w:p w14:paraId="64E07D64" w14:textId="77777777" w:rsidR="00DD13A3" w:rsidRPr="00DD13A3" w:rsidRDefault="00DD13A3" w:rsidP="006C2E0B">
      <w:pPr>
        <w:numPr>
          <w:ilvl w:val="0"/>
          <w:numId w:val="30"/>
        </w:numPr>
        <w:spacing w:before="120" w:after="120"/>
        <w:contextualSpacing/>
        <w:rPr>
          <w:rFonts w:eastAsia="Calibri" w:cs="Arial"/>
          <w:iCs/>
          <w:szCs w:val="22"/>
          <w:lang w:eastAsia="en-US"/>
        </w:rPr>
      </w:pPr>
      <w:proofErr w:type="spellStart"/>
      <w:r w:rsidRPr="00DD13A3">
        <w:rPr>
          <w:rFonts w:eastAsia="Calibri" w:cs="Arial"/>
          <w:iCs/>
          <w:szCs w:val="22"/>
          <w:lang w:eastAsia="en-US"/>
        </w:rPr>
        <w:t>QIAseq</w:t>
      </w:r>
      <w:proofErr w:type="spellEnd"/>
      <w:r w:rsidRPr="00DD13A3">
        <w:rPr>
          <w:rFonts w:eastAsia="Calibri" w:cs="Arial"/>
          <w:iCs/>
          <w:szCs w:val="22"/>
          <w:lang w:eastAsia="en-US"/>
        </w:rPr>
        <w:t xml:space="preserve"> targeted DNA extended panel is another NGS-based gene panel that uses the Illumina </w:t>
      </w:r>
      <w:proofErr w:type="spellStart"/>
      <w:r w:rsidRPr="00DD13A3">
        <w:rPr>
          <w:rFonts w:eastAsia="Calibri" w:cs="Arial"/>
          <w:iCs/>
          <w:szCs w:val="22"/>
          <w:lang w:eastAsia="en-US"/>
        </w:rPr>
        <w:t>MiSeq</w:t>
      </w:r>
      <w:proofErr w:type="spellEnd"/>
      <w:r w:rsidRPr="00DD13A3">
        <w:rPr>
          <w:rFonts w:eastAsia="Calibri" w:cs="Arial"/>
          <w:iCs/>
          <w:szCs w:val="22"/>
          <w:vertAlign w:val="superscript"/>
          <w:lang w:eastAsia="en-US"/>
        </w:rPr>
        <w:t>®</w:t>
      </w:r>
      <w:r w:rsidRPr="00DD13A3">
        <w:rPr>
          <w:rFonts w:eastAsia="Calibri" w:cs="Arial"/>
          <w:iCs/>
          <w:szCs w:val="22"/>
          <w:lang w:eastAsia="en-US"/>
        </w:rPr>
        <w:t xml:space="preserve"> v2 sequencing platform to detect pathologic HRR gene alterations in DNA samples from FFPE tumour tissue. This test was validated by the Peter MacCallum Cancer Centre (PMCC) and presented in the submission.</w:t>
      </w:r>
    </w:p>
    <w:p w14:paraId="13375D24" w14:textId="6DF4068D" w:rsidR="00DD13A3" w:rsidRPr="00DD13A3" w:rsidRDefault="00DD13A3" w:rsidP="00DD13A3">
      <w:pPr>
        <w:keepNext/>
        <w:spacing w:after="40"/>
        <w:jc w:val="both"/>
        <w:outlineLvl w:val="4"/>
        <w:rPr>
          <w:rFonts w:ascii="Arial Narrow" w:hAnsi="Arial Narrow" w:cs="Arial"/>
          <w:b/>
          <w:bCs/>
          <w:iCs/>
          <w:sz w:val="20"/>
          <w:lang w:eastAsia="en-US"/>
        </w:rPr>
      </w:pPr>
      <w:r w:rsidRPr="00DD13A3">
        <w:rPr>
          <w:rFonts w:ascii="Arial Narrow" w:hAnsi="Arial Narrow" w:cs="Arial"/>
          <w:b/>
          <w:bCs/>
          <w:iCs/>
          <w:sz w:val="20"/>
          <w:lang w:eastAsia="en-US"/>
        </w:rPr>
        <w:lastRenderedPageBreak/>
        <w:t xml:space="preserve">Table </w:t>
      </w:r>
      <w:r w:rsidRPr="00DD13A3">
        <w:rPr>
          <w:rFonts w:ascii="Arial Narrow" w:hAnsi="Arial Narrow" w:cs="Arial"/>
          <w:b/>
          <w:bCs/>
          <w:iCs/>
          <w:sz w:val="20"/>
          <w:lang w:eastAsia="en-US"/>
        </w:rPr>
        <w:fldChar w:fldCharType="begin"/>
      </w:r>
      <w:r w:rsidRPr="00DD13A3">
        <w:rPr>
          <w:rFonts w:ascii="Arial Narrow" w:hAnsi="Arial Narrow" w:cs="Arial"/>
          <w:b/>
          <w:bCs/>
          <w:iCs/>
          <w:sz w:val="20"/>
          <w:lang w:eastAsia="en-US"/>
        </w:rPr>
        <w:instrText xml:space="preserve"> SEQ Table \* ARABIC </w:instrText>
      </w:r>
      <w:r w:rsidRPr="00DD13A3">
        <w:rPr>
          <w:rFonts w:ascii="Arial Narrow" w:hAnsi="Arial Narrow" w:cs="Arial"/>
          <w:b/>
          <w:bCs/>
          <w:iCs/>
          <w:sz w:val="20"/>
          <w:lang w:eastAsia="en-US"/>
        </w:rPr>
        <w:fldChar w:fldCharType="separate"/>
      </w:r>
      <w:r w:rsidR="006C2E0B">
        <w:rPr>
          <w:rFonts w:ascii="Arial Narrow" w:hAnsi="Arial Narrow" w:cs="Arial"/>
          <w:b/>
          <w:bCs/>
          <w:iCs/>
          <w:noProof/>
          <w:sz w:val="20"/>
          <w:lang w:eastAsia="en-US"/>
        </w:rPr>
        <w:t>4</w:t>
      </w:r>
      <w:r w:rsidRPr="00DD13A3">
        <w:rPr>
          <w:rFonts w:ascii="Arial Narrow" w:hAnsi="Arial Narrow" w:cs="Arial"/>
          <w:b/>
          <w:bCs/>
          <w:iCs/>
          <w:noProof/>
          <w:sz w:val="20"/>
          <w:lang w:eastAsia="en-US"/>
        </w:rPr>
        <w:fldChar w:fldCharType="end"/>
      </w:r>
      <w:r w:rsidRPr="00DD13A3">
        <w:rPr>
          <w:rFonts w:ascii="Arial Narrow" w:hAnsi="Arial Narrow" w:cs="Arial"/>
          <w:b/>
          <w:bCs/>
          <w:iCs/>
          <w:sz w:val="20"/>
          <w:lang w:eastAsia="en-US"/>
        </w:rPr>
        <w:tab/>
        <w:t>Summary of the linked evidence approach</w:t>
      </w:r>
    </w:p>
    <w:tbl>
      <w:tblPr>
        <w:tblStyle w:val="TableGrid11"/>
        <w:tblW w:w="5000" w:type="pct"/>
        <w:tblLook w:val="04A0" w:firstRow="1" w:lastRow="0" w:firstColumn="1" w:lastColumn="0" w:noHBand="0" w:noVBand="1"/>
        <w:tblDescription w:val="Summary of the linked evidence approach"/>
      </w:tblPr>
      <w:tblGrid>
        <w:gridCol w:w="1980"/>
        <w:gridCol w:w="5386"/>
        <w:gridCol w:w="1650"/>
      </w:tblGrid>
      <w:tr w:rsidR="00DD13A3" w:rsidRPr="00DD13A3" w14:paraId="6909B166" w14:textId="77777777" w:rsidTr="00360CB8">
        <w:trPr>
          <w:tblHeader/>
        </w:trPr>
        <w:tc>
          <w:tcPr>
            <w:tcW w:w="1098" w:type="pct"/>
          </w:tcPr>
          <w:p w14:paraId="4DFCF290" w14:textId="77777777" w:rsidR="00DD13A3" w:rsidRPr="00DD13A3" w:rsidRDefault="00DD13A3" w:rsidP="00DD13A3">
            <w:pPr>
              <w:keepNext/>
              <w:keepLines/>
              <w:widowControl w:val="0"/>
              <w:spacing w:before="40" w:after="40" w:line="256" w:lineRule="auto"/>
              <w:rPr>
                <w:rFonts w:ascii="Arial Narrow" w:hAnsi="Arial Narrow"/>
                <w:b/>
                <w:sz w:val="20"/>
                <w:szCs w:val="24"/>
                <w:lang w:eastAsia="en-GB"/>
              </w:rPr>
            </w:pPr>
            <w:r w:rsidRPr="00DD13A3">
              <w:rPr>
                <w:rFonts w:ascii="Arial Narrow" w:eastAsia="Calibri" w:hAnsi="Arial Narrow" w:cs="Arial"/>
                <w:b/>
                <w:sz w:val="20"/>
                <w:szCs w:val="22"/>
                <w:lang w:eastAsia="en-US"/>
              </w:rPr>
              <w:t>Study type</w:t>
            </w:r>
          </w:p>
        </w:tc>
        <w:tc>
          <w:tcPr>
            <w:tcW w:w="2987" w:type="pct"/>
            <w:hideMark/>
          </w:tcPr>
          <w:p w14:paraId="7BF258E6" w14:textId="77777777" w:rsidR="00DD13A3" w:rsidRPr="00DD13A3" w:rsidRDefault="00DD13A3" w:rsidP="00DD13A3">
            <w:pPr>
              <w:keepNext/>
              <w:keepLines/>
              <w:widowControl w:val="0"/>
              <w:spacing w:before="40" w:after="40" w:line="256" w:lineRule="auto"/>
              <w:rPr>
                <w:rFonts w:ascii="Arial Narrow" w:hAnsi="Arial Narrow"/>
                <w:b/>
                <w:sz w:val="20"/>
                <w:szCs w:val="24"/>
                <w:lang w:eastAsia="en-GB"/>
              </w:rPr>
            </w:pPr>
            <w:r w:rsidRPr="00DD13A3">
              <w:rPr>
                <w:rFonts w:ascii="Arial Narrow" w:hAnsi="Arial Narrow"/>
                <w:b/>
                <w:sz w:val="20"/>
                <w:szCs w:val="24"/>
                <w:lang w:eastAsia="en-GB"/>
              </w:rPr>
              <w:t>Type of evidence supplied</w:t>
            </w:r>
          </w:p>
        </w:tc>
        <w:tc>
          <w:tcPr>
            <w:tcW w:w="915" w:type="pct"/>
            <w:hideMark/>
          </w:tcPr>
          <w:p w14:paraId="1B49608D" w14:textId="77777777" w:rsidR="00DD13A3" w:rsidRPr="00DD13A3" w:rsidRDefault="00DD13A3" w:rsidP="00DD13A3">
            <w:pPr>
              <w:keepNext/>
              <w:keepLines/>
              <w:widowControl w:val="0"/>
              <w:spacing w:before="40" w:after="40" w:line="256" w:lineRule="auto"/>
              <w:rPr>
                <w:rFonts w:ascii="Arial Narrow" w:hAnsi="Arial Narrow"/>
                <w:b/>
                <w:sz w:val="20"/>
                <w:szCs w:val="24"/>
                <w:lang w:eastAsia="en-GB"/>
              </w:rPr>
            </w:pPr>
            <w:r w:rsidRPr="00DD13A3">
              <w:rPr>
                <w:rFonts w:ascii="Arial Narrow" w:hAnsi="Arial Narrow"/>
                <w:b/>
                <w:sz w:val="20"/>
                <w:szCs w:val="24"/>
                <w:lang w:eastAsia="en-GB"/>
              </w:rPr>
              <w:t>Extent of evidence supplied</w:t>
            </w:r>
          </w:p>
        </w:tc>
      </w:tr>
      <w:tr w:rsidR="00DD13A3" w:rsidRPr="00DD13A3" w14:paraId="144D847A" w14:textId="77777777" w:rsidTr="00360CB8">
        <w:tc>
          <w:tcPr>
            <w:tcW w:w="1098" w:type="pct"/>
            <w:hideMark/>
          </w:tcPr>
          <w:p w14:paraId="33E78E64" w14:textId="77777777" w:rsidR="00DD13A3" w:rsidRPr="00DD13A3" w:rsidRDefault="00DD13A3" w:rsidP="00DD13A3">
            <w:pPr>
              <w:keepNext/>
              <w:keepLines/>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Accuracy and performance of the test (analytical validity)</w:t>
            </w:r>
          </w:p>
        </w:tc>
        <w:tc>
          <w:tcPr>
            <w:tcW w:w="2987" w:type="pct"/>
            <w:hideMark/>
          </w:tcPr>
          <w:p w14:paraId="554E613A" w14:textId="77777777" w:rsidR="00DD13A3" w:rsidRPr="00DD13A3" w:rsidRDefault="00DD13A3" w:rsidP="00DD13A3">
            <w:pPr>
              <w:keepNext/>
              <w:keepLines/>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The submission did not conduct a search for studies of diagnostic performance.</w:t>
            </w:r>
          </w:p>
          <w:p w14:paraId="3AF4D22D" w14:textId="77777777" w:rsidR="00DD13A3" w:rsidRPr="00DD13A3" w:rsidRDefault="00DD13A3" w:rsidP="00DD13A3">
            <w:pPr>
              <w:keepNext/>
              <w:keepLines/>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The following data was included for:</w:t>
            </w:r>
          </w:p>
          <w:p w14:paraId="5D2FD599" w14:textId="77777777" w:rsidR="00DD13A3" w:rsidRPr="00DD13A3" w:rsidRDefault="00DD13A3" w:rsidP="00DD13A3">
            <w:pPr>
              <w:keepNext/>
              <w:keepLines/>
              <w:widowControl w:val="0"/>
              <w:spacing w:before="40" w:after="40" w:line="256" w:lineRule="auto"/>
              <w:rPr>
                <w:rFonts w:ascii="Arial Narrow" w:hAnsi="Arial Narrow"/>
                <w:sz w:val="20"/>
                <w:szCs w:val="24"/>
                <w:lang w:eastAsia="en-GB"/>
              </w:rPr>
            </w:pPr>
            <w:r w:rsidRPr="00DD13A3">
              <w:rPr>
                <w:rFonts w:ascii="Arial Narrow" w:hAnsi="Arial Narrow"/>
                <w:sz w:val="20"/>
                <w:szCs w:val="24"/>
                <w:u w:val="single"/>
                <w:lang w:eastAsia="en-GB"/>
              </w:rPr>
              <w:t>F1CDx</w:t>
            </w:r>
            <w:r w:rsidRPr="00DD13A3">
              <w:rPr>
                <w:rFonts w:ascii="Arial Narrow" w:hAnsi="Arial Narrow"/>
                <w:sz w:val="20"/>
                <w:szCs w:val="24"/>
                <w:lang w:eastAsia="en-GB"/>
              </w:rPr>
              <w:t xml:space="preserve">: the summary of two concordance analyses included in the FDA label comparing F1CDx with </w:t>
            </w:r>
            <w:proofErr w:type="spellStart"/>
            <w:r w:rsidRPr="00DD13A3">
              <w:rPr>
                <w:rFonts w:ascii="Arial Narrow" w:hAnsi="Arial Narrow"/>
                <w:sz w:val="20"/>
                <w:szCs w:val="24"/>
                <w:lang w:eastAsia="en-GB"/>
              </w:rPr>
              <w:t>evNGS</w:t>
            </w:r>
            <w:proofErr w:type="spellEnd"/>
            <w:r w:rsidRPr="00DD13A3">
              <w:rPr>
                <w:rFonts w:ascii="Arial Narrow" w:hAnsi="Arial Narrow"/>
                <w:sz w:val="20"/>
                <w:szCs w:val="24"/>
                <w:lang w:eastAsia="en-GB"/>
              </w:rPr>
              <w:t xml:space="preserve"> and F1LTD.</w:t>
            </w:r>
          </w:p>
          <w:p w14:paraId="0F2232D7" w14:textId="77777777" w:rsidR="00DD13A3" w:rsidRPr="00DD13A3" w:rsidRDefault="00DD13A3" w:rsidP="00DD13A3">
            <w:pPr>
              <w:keepNext/>
              <w:keepLines/>
              <w:widowControl w:val="0"/>
              <w:spacing w:before="40" w:after="40" w:line="256" w:lineRule="auto"/>
              <w:rPr>
                <w:rFonts w:ascii="Arial Narrow" w:hAnsi="Arial Narrow"/>
                <w:sz w:val="20"/>
                <w:szCs w:val="24"/>
                <w:lang w:eastAsia="en-GB"/>
              </w:rPr>
            </w:pPr>
            <w:proofErr w:type="spellStart"/>
            <w:r w:rsidRPr="00DD13A3">
              <w:rPr>
                <w:rFonts w:ascii="Arial Narrow" w:hAnsi="Arial Narrow"/>
                <w:sz w:val="20"/>
                <w:szCs w:val="24"/>
                <w:u w:val="single"/>
                <w:lang w:eastAsia="en-GB"/>
              </w:rPr>
              <w:t>QIAseq</w:t>
            </w:r>
            <w:proofErr w:type="spellEnd"/>
            <w:r w:rsidRPr="00DD13A3">
              <w:rPr>
                <w:rFonts w:ascii="Arial Narrow" w:hAnsi="Arial Narrow"/>
                <w:sz w:val="20"/>
                <w:szCs w:val="24"/>
                <w:lang w:eastAsia="en-GB"/>
              </w:rPr>
              <w:t xml:space="preserve">: A validation report conducted by the PMCC comparing </w:t>
            </w:r>
            <w:proofErr w:type="spellStart"/>
            <w:r w:rsidRPr="00DD13A3">
              <w:rPr>
                <w:rFonts w:ascii="Arial Narrow" w:hAnsi="Arial Narrow"/>
                <w:sz w:val="20"/>
                <w:szCs w:val="24"/>
                <w:lang w:eastAsia="en-GB"/>
              </w:rPr>
              <w:t>QIAseq</w:t>
            </w:r>
            <w:proofErr w:type="spellEnd"/>
            <w:r w:rsidRPr="00DD13A3">
              <w:rPr>
                <w:rFonts w:ascii="Arial Narrow" w:hAnsi="Arial Narrow"/>
                <w:sz w:val="20"/>
                <w:szCs w:val="24"/>
                <w:lang w:eastAsia="en-GB"/>
              </w:rPr>
              <w:t xml:space="preserve"> to two in-house NGS assays: CCP and the FRCP.</w:t>
            </w:r>
          </w:p>
        </w:tc>
        <w:tc>
          <w:tcPr>
            <w:tcW w:w="915" w:type="pct"/>
            <w:hideMark/>
          </w:tcPr>
          <w:p w14:paraId="2E0516EE" w14:textId="77777777" w:rsidR="00DD13A3" w:rsidRPr="00DD13A3" w:rsidRDefault="00940B7B" w:rsidP="00DD13A3">
            <w:pPr>
              <w:keepNext/>
              <w:keepLines/>
              <w:widowControl w:val="0"/>
              <w:spacing w:before="40" w:after="40" w:line="256" w:lineRule="auto"/>
              <w:rPr>
                <w:rFonts w:ascii="Arial Narrow" w:hAnsi="Arial Narrow"/>
                <w:sz w:val="20"/>
                <w:szCs w:val="24"/>
                <w:lang w:eastAsia="en-GB"/>
              </w:rPr>
            </w:pPr>
            <w:sdt>
              <w:sdtPr>
                <w:rPr>
                  <w:rFonts w:ascii="Arial Narrow" w:hAnsi="Arial Narrow"/>
                  <w:sz w:val="20"/>
                  <w:szCs w:val="24"/>
                  <w:lang w:eastAsia="en-GB"/>
                </w:rPr>
                <w:id w:val="2055336976"/>
                <w14:checkbox>
                  <w14:checked w14:val="0"/>
                  <w14:checkedState w14:val="2612" w14:font="MS Gothic"/>
                  <w14:uncheckedState w14:val="2610" w14:font="MS Gothic"/>
                </w14:checkbox>
              </w:sdtPr>
              <w:sdtEndPr/>
              <w:sdtContent>
                <w:r w:rsidR="00DD13A3" w:rsidRPr="00DD13A3">
                  <w:rPr>
                    <w:rFonts w:ascii="Segoe UI Symbol" w:hAnsi="Segoe UI Symbol" w:cs="Segoe UI Symbol"/>
                    <w:sz w:val="20"/>
                    <w:szCs w:val="24"/>
                    <w:lang w:eastAsia="en-GB"/>
                  </w:rPr>
                  <w:t>☐</w:t>
                </w:r>
              </w:sdtContent>
            </w:sdt>
            <w:r w:rsidR="00DD13A3" w:rsidRPr="00DD13A3">
              <w:rPr>
                <w:rFonts w:ascii="Arial Narrow" w:hAnsi="Arial Narrow"/>
                <w:sz w:val="20"/>
                <w:szCs w:val="24"/>
                <w:lang w:eastAsia="en-GB"/>
              </w:rPr>
              <w:tab/>
              <w:t>k=0</w:t>
            </w:r>
          </w:p>
        </w:tc>
      </w:tr>
      <w:tr w:rsidR="00DD13A3" w:rsidRPr="00DD13A3" w14:paraId="42468A5C" w14:textId="77777777" w:rsidTr="00360CB8">
        <w:tc>
          <w:tcPr>
            <w:tcW w:w="1098" w:type="pct"/>
            <w:hideMark/>
          </w:tcPr>
          <w:p w14:paraId="7CDFF1E4" w14:textId="77777777" w:rsidR="00DD13A3" w:rsidRPr="00DD13A3" w:rsidRDefault="00DD13A3" w:rsidP="00DD13A3">
            <w:pPr>
              <w:keepNext/>
              <w:keepLines/>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Prognostic evidence</w:t>
            </w:r>
          </w:p>
        </w:tc>
        <w:tc>
          <w:tcPr>
            <w:tcW w:w="2987" w:type="pct"/>
            <w:hideMark/>
          </w:tcPr>
          <w:p w14:paraId="364FB329" w14:textId="77777777" w:rsidR="00DD13A3" w:rsidRPr="00DD13A3" w:rsidRDefault="00DD13A3" w:rsidP="00DD13A3">
            <w:pPr>
              <w:keepNext/>
              <w:keepLines/>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Comparison of outcomes in patients receiving usual care conditioned on the presence or absence of biomarker positive status.</w:t>
            </w:r>
          </w:p>
        </w:tc>
        <w:tc>
          <w:tcPr>
            <w:tcW w:w="915" w:type="pct"/>
            <w:hideMark/>
          </w:tcPr>
          <w:p w14:paraId="2A990523" w14:textId="77777777" w:rsidR="00DD13A3" w:rsidRPr="00DD13A3" w:rsidRDefault="00940B7B" w:rsidP="00DD13A3">
            <w:pPr>
              <w:keepNext/>
              <w:keepLines/>
              <w:widowControl w:val="0"/>
              <w:spacing w:before="40" w:after="40" w:line="256" w:lineRule="auto"/>
              <w:rPr>
                <w:rFonts w:ascii="Arial Narrow" w:hAnsi="Arial Narrow"/>
                <w:sz w:val="20"/>
                <w:szCs w:val="24"/>
                <w:lang w:eastAsia="en-GB"/>
              </w:rPr>
            </w:pPr>
            <w:sdt>
              <w:sdtPr>
                <w:rPr>
                  <w:rFonts w:ascii="Arial Narrow" w:hAnsi="Arial Narrow"/>
                  <w:sz w:val="20"/>
                  <w:szCs w:val="24"/>
                  <w:lang w:eastAsia="en-GB"/>
                </w:rPr>
                <w:id w:val="2023826150"/>
                <w14:checkbox>
                  <w14:checked w14:val="1"/>
                  <w14:checkedState w14:val="2612" w14:font="MS Gothic"/>
                  <w14:uncheckedState w14:val="2610" w14:font="MS Gothic"/>
                </w14:checkbox>
              </w:sdtPr>
              <w:sdtEndPr/>
              <w:sdtContent>
                <w:r w:rsidR="00DD13A3" w:rsidRPr="00DD13A3">
                  <w:rPr>
                    <w:rFonts w:ascii="Segoe UI Symbol" w:eastAsia="MS Gothic" w:hAnsi="Segoe UI Symbol" w:cs="Segoe UI Symbol"/>
                    <w:sz w:val="20"/>
                    <w:szCs w:val="24"/>
                    <w:lang w:eastAsia="en-GB"/>
                  </w:rPr>
                  <w:t>☒</w:t>
                </w:r>
              </w:sdtContent>
            </w:sdt>
            <w:r w:rsidR="00DD13A3" w:rsidRPr="00DD13A3">
              <w:rPr>
                <w:rFonts w:ascii="Arial Narrow" w:hAnsi="Arial Narrow"/>
                <w:sz w:val="20"/>
                <w:szCs w:val="24"/>
                <w:lang w:eastAsia="en-GB"/>
              </w:rPr>
              <w:tab/>
              <w:t>k=2</w:t>
            </w:r>
          </w:p>
          <w:p w14:paraId="4B66D001" w14:textId="77777777" w:rsidR="00DD13A3" w:rsidRPr="00DD13A3" w:rsidRDefault="00DD13A3" w:rsidP="00DD13A3">
            <w:pPr>
              <w:keepNext/>
              <w:keepLines/>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ab/>
              <w:t>n=13,369</w:t>
            </w:r>
          </w:p>
        </w:tc>
      </w:tr>
      <w:tr w:rsidR="00DD13A3" w:rsidRPr="00DD13A3" w14:paraId="32CB022F" w14:textId="77777777" w:rsidTr="00360CB8">
        <w:tc>
          <w:tcPr>
            <w:tcW w:w="1098" w:type="pct"/>
          </w:tcPr>
          <w:p w14:paraId="2736B6A7" w14:textId="77777777" w:rsidR="00DD13A3" w:rsidRPr="00DD13A3" w:rsidRDefault="00DD13A3" w:rsidP="00DD13A3">
            <w:pPr>
              <w:keepNext/>
              <w:keepLines/>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Clinical utility of the test</w:t>
            </w:r>
          </w:p>
          <w:p w14:paraId="7909E63A" w14:textId="77777777" w:rsidR="00DD13A3" w:rsidRPr="00DD13A3" w:rsidRDefault="00DD13A3" w:rsidP="00DD13A3">
            <w:pPr>
              <w:keepNext/>
              <w:keepLines/>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Predictive effect (treatment effect variation)</w:t>
            </w:r>
          </w:p>
        </w:tc>
        <w:tc>
          <w:tcPr>
            <w:tcW w:w="2987" w:type="pct"/>
          </w:tcPr>
          <w:p w14:paraId="0BD23CCE" w14:textId="41697E58" w:rsidR="00DD13A3" w:rsidRPr="00DD13A3" w:rsidRDefault="00DD13A3" w:rsidP="00DD13A3">
            <w:pPr>
              <w:keepNext/>
              <w:keepLines/>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 xml:space="preserve">The submission did not compare outcomes in patients with and without </w:t>
            </w:r>
            <w:r w:rsidRPr="00DD13A3">
              <w:rPr>
                <w:rFonts w:ascii="Arial Narrow" w:hAnsi="Arial Narrow"/>
                <w:i/>
                <w:sz w:val="20"/>
                <w:szCs w:val="24"/>
                <w:lang w:eastAsia="en-GB"/>
              </w:rPr>
              <w:t>BRCA1/2</w:t>
            </w:r>
            <w:r w:rsidRPr="00DD13A3">
              <w:rPr>
                <w:rFonts w:ascii="Arial Narrow" w:hAnsi="Arial Narrow"/>
                <w:sz w:val="20"/>
                <w:szCs w:val="24"/>
                <w:lang w:eastAsia="en-GB"/>
              </w:rPr>
              <w:t xml:space="preserve"> pathogenic</w:t>
            </w:r>
            <w:r w:rsidR="00F97785">
              <w:rPr>
                <w:rFonts w:ascii="Arial Narrow" w:hAnsi="Arial Narrow"/>
                <w:sz w:val="20"/>
                <w:szCs w:val="24"/>
                <w:lang w:eastAsia="en-GB"/>
              </w:rPr>
              <w:t xml:space="preserve"> gene</w:t>
            </w:r>
            <w:r w:rsidRPr="00DD13A3">
              <w:rPr>
                <w:rFonts w:ascii="Arial Narrow" w:hAnsi="Arial Narrow"/>
                <w:sz w:val="20"/>
                <w:szCs w:val="24"/>
                <w:lang w:eastAsia="en-GB"/>
              </w:rPr>
              <w:t xml:space="preserve"> variants who received olaparib or NHA. Even though this information is available from the </w:t>
            </w:r>
            <w:proofErr w:type="spellStart"/>
            <w:r w:rsidRPr="00DD13A3">
              <w:rPr>
                <w:rFonts w:ascii="Arial Narrow" w:hAnsi="Arial Narrow"/>
                <w:sz w:val="20"/>
                <w:szCs w:val="24"/>
                <w:lang w:eastAsia="en-GB"/>
              </w:rPr>
              <w:t>PROfound</w:t>
            </w:r>
            <w:proofErr w:type="spellEnd"/>
            <w:r w:rsidRPr="00DD13A3">
              <w:rPr>
                <w:rFonts w:ascii="Arial Narrow" w:hAnsi="Arial Narrow"/>
                <w:sz w:val="20"/>
                <w:szCs w:val="24"/>
                <w:lang w:eastAsia="en-GB"/>
              </w:rPr>
              <w:t xml:space="preserve"> trial, with patients without </w:t>
            </w:r>
            <w:r w:rsidRPr="00DD13A3">
              <w:rPr>
                <w:rFonts w:ascii="Arial Narrow" w:hAnsi="Arial Narrow"/>
                <w:i/>
                <w:sz w:val="20"/>
                <w:szCs w:val="24"/>
                <w:lang w:eastAsia="en-GB"/>
              </w:rPr>
              <w:t>BRCA1/2</w:t>
            </w:r>
            <w:r w:rsidRPr="00DD13A3">
              <w:rPr>
                <w:rFonts w:ascii="Arial Narrow" w:hAnsi="Arial Narrow"/>
                <w:sz w:val="20"/>
                <w:szCs w:val="24"/>
                <w:lang w:eastAsia="en-GB"/>
              </w:rPr>
              <w:t xml:space="preserve"> pathogenic</w:t>
            </w:r>
            <w:r w:rsidR="00F97785">
              <w:rPr>
                <w:rFonts w:ascii="Arial Narrow" w:hAnsi="Arial Narrow"/>
                <w:sz w:val="20"/>
                <w:szCs w:val="24"/>
                <w:lang w:eastAsia="en-GB"/>
              </w:rPr>
              <w:t xml:space="preserve"> gene</w:t>
            </w:r>
            <w:r w:rsidRPr="00DD13A3">
              <w:rPr>
                <w:rFonts w:ascii="Arial Narrow" w:hAnsi="Arial Narrow"/>
                <w:sz w:val="20"/>
                <w:szCs w:val="24"/>
                <w:lang w:eastAsia="en-GB"/>
              </w:rPr>
              <w:t xml:space="preserve"> variants forming the complement.</w:t>
            </w:r>
          </w:p>
        </w:tc>
        <w:tc>
          <w:tcPr>
            <w:tcW w:w="915" w:type="pct"/>
          </w:tcPr>
          <w:p w14:paraId="1B735686" w14:textId="77777777" w:rsidR="00DD13A3" w:rsidRPr="00DD13A3" w:rsidRDefault="00940B7B" w:rsidP="00DD13A3">
            <w:pPr>
              <w:keepNext/>
              <w:keepLines/>
              <w:widowControl w:val="0"/>
              <w:spacing w:before="40" w:after="40" w:line="256" w:lineRule="auto"/>
              <w:rPr>
                <w:rFonts w:ascii="Arial Narrow" w:hAnsi="Arial Narrow"/>
                <w:sz w:val="20"/>
                <w:szCs w:val="24"/>
                <w:lang w:eastAsia="en-GB"/>
              </w:rPr>
            </w:pPr>
            <w:sdt>
              <w:sdtPr>
                <w:rPr>
                  <w:rFonts w:ascii="Arial Narrow" w:hAnsi="Arial Narrow"/>
                  <w:sz w:val="20"/>
                  <w:szCs w:val="24"/>
                  <w:lang w:eastAsia="en-GB"/>
                </w:rPr>
                <w:id w:val="705295093"/>
                <w14:checkbox>
                  <w14:checked w14:val="0"/>
                  <w14:checkedState w14:val="2612" w14:font="MS Gothic"/>
                  <w14:uncheckedState w14:val="2610" w14:font="MS Gothic"/>
                </w14:checkbox>
              </w:sdtPr>
              <w:sdtEndPr/>
              <w:sdtContent>
                <w:r w:rsidR="00DD13A3" w:rsidRPr="00DD13A3">
                  <w:rPr>
                    <w:rFonts w:ascii="Segoe UI Symbol" w:hAnsi="Segoe UI Symbol" w:cs="Segoe UI Symbol"/>
                    <w:sz w:val="20"/>
                    <w:szCs w:val="24"/>
                    <w:lang w:eastAsia="en-GB"/>
                  </w:rPr>
                  <w:t>☐</w:t>
                </w:r>
              </w:sdtContent>
            </w:sdt>
            <w:r w:rsidR="00DD13A3" w:rsidRPr="00DD13A3">
              <w:rPr>
                <w:rFonts w:ascii="Arial Narrow" w:hAnsi="Arial Narrow"/>
                <w:sz w:val="20"/>
                <w:szCs w:val="24"/>
                <w:lang w:eastAsia="en-GB"/>
              </w:rPr>
              <w:tab/>
              <w:t>k=0</w:t>
            </w:r>
          </w:p>
        </w:tc>
      </w:tr>
      <w:tr w:rsidR="00DD13A3" w:rsidRPr="00DD13A3" w14:paraId="0141D6CD" w14:textId="77777777" w:rsidTr="00360CB8">
        <w:tc>
          <w:tcPr>
            <w:tcW w:w="1098" w:type="pct"/>
            <w:hideMark/>
          </w:tcPr>
          <w:p w14:paraId="311FA50F" w14:textId="677FE418" w:rsidR="00DD13A3" w:rsidRPr="00DD13A3" w:rsidRDefault="008423D9" w:rsidP="00DD13A3">
            <w:pPr>
              <w:keepNext/>
              <w:keepLines/>
              <w:widowControl w:val="0"/>
              <w:spacing w:before="40" w:after="40" w:line="256" w:lineRule="auto"/>
              <w:rPr>
                <w:rFonts w:ascii="Arial Narrow" w:hAnsi="Arial Narrow"/>
                <w:sz w:val="20"/>
                <w:szCs w:val="24"/>
                <w:lang w:eastAsia="en-GB"/>
              </w:rPr>
            </w:pPr>
            <w:r>
              <w:rPr>
                <w:rFonts w:ascii="Arial Narrow" w:hAnsi="Arial Narrow"/>
                <w:sz w:val="20"/>
                <w:szCs w:val="24"/>
                <w:lang w:eastAsia="en-GB"/>
              </w:rPr>
              <w:t>Change in patient management</w:t>
            </w:r>
          </w:p>
        </w:tc>
        <w:tc>
          <w:tcPr>
            <w:tcW w:w="2987" w:type="pct"/>
            <w:hideMark/>
          </w:tcPr>
          <w:p w14:paraId="260BFE14" w14:textId="77777777" w:rsidR="00DD13A3" w:rsidRPr="00DD13A3" w:rsidRDefault="00DD13A3" w:rsidP="00DD13A3">
            <w:pPr>
              <w:keepNext/>
              <w:keepLines/>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No evidence was provided to show that biomarker determination guides decisions about treatment with the medicine.</w:t>
            </w:r>
          </w:p>
        </w:tc>
        <w:tc>
          <w:tcPr>
            <w:tcW w:w="915" w:type="pct"/>
            <w:hideMark/>
          </w:tcPr>
          <w:p w14:paraId="351EFFA3" w14:textId="77777777" w:rsidR="00DD13A3" w:rsidRPr="00DD13A3" w:rsidRDefault="00940B7B" w:rsidP="00DD13A3">
            <w:pPr>
              <w:keepNext/>
              <w:keepLines/>
              <w:widowControl w:val="0"/>
              <w:spacing w:before="40" w:after="40" w:line="256" w:lineRule="auto"/>
              <w:rPr>
                <w:rFonts w:ascii="Arial Narrow" w:hAnsi="Arial Narrow"/>
                <w:sz w:val="20"/>
                <w:szCs w:val="24"/>
                <w:lang w:eastAsia="en-GB"/>
              </w:rPr>
            </w:pPr>
            <w:sdt>
              <w:sdtPr>
                <w:rPr>
                  <w:rFonts w:ascii="Arial Narrow" w:hAnsi="Arial Narrow"/>
                  <w:sz w:val="20"/>
                  <w:szCs w:val="24"/>
                  <w:lang w:eastAsia="en-GB"/>
                </w:rPr>
                <w:id w:val="266278546"/>
                <w14:checkbox>
                  <w14:checked w14:val="0"/>
                  <w14:checkedState w14:val="2612" w14:font="MS Gothic"/>
                  <w14:uncheckedState w14:val="2610" w14:font="MS Gothic"/>
                </w14:checkbox>
              </w:sdtPr>
              <w:sdtEndPr/>
              <w:sdtContent>
                <w:r w:rsidR="00DD13A3" w:rsidRPr="00DD13A3">
                  <w:rPr>
                    <w:rFonts w:ascii="Segoe UI Symbol" w:hAnsi="Segoe UI Symbol" w:cs="Segoe UI Symbol"/>
                    <w:sz w:val="20"/>
                    <w:szCs w:val="24"/>
                    <w:lang w:eastAsia="en-GB"/>
                  </w:rPr>
                  <w:t>☐</w:t>
                </w:r>
              </w:sdtContent>
            </w:sdt>
            <w:r w:rsidR="00DD13A3" w:rsidRPr="00DD13A3">
              <w:rPr>
                <w:rFonts w:ascii="Arial Narrow" w:hAnsi="Arial Narrow"/>
                <w:sz w:val="20"/>
                <w:szCs w:val="24"/>
                <w:lang w:eastAsia="en-GB"/>
              </w:rPr>
              <w:tab/>
              <w:t>k=0</w:t>
            </w:r>
          </w:p>
        </w:tc>
      </w:tr>
      <w:tr w:rsidR="00DD13A3" w:rsidRPr="00DD13A3" w14:paraId="1F4F9C83" w14:textId="77777777" w:rsidTr="00360CB8">
        <w:tc>
          <w:tcPr>
            <w:tcW w:w="1098" w:type="pct"/>
          </w:tcPr>
          <w:p w14:paraId="55DA2DFE" w14:textId="263FDA60" w:rsidR="00DD13A3" w:rsidRPr="00DD13A3" w:rsidRDefault="008423D9" w:rsidP="00DD13A3">
            <w:pPr>
              <w:keepNext/>
              <w:keepLines/>
              <w:widowControl w:val="0"/>
              <w:spacing w:before="40" w:after="40" w:line="256" w:lineRule="auto"/>
              <w:rPr>
                <w:rFonts w:ascii="Arial Narrow" w:hAnsi="Arial Narrow"/>
                <w:sz w:val="20"/>
                <w:szCs w:val="24"/>
                <w:lang w:eastAsia="en-GB"/>
              </w:rPr>
            </w:pPr>
            <w:r>
              <w:rPr>
                <w:rFonts w:ascii="Arial Narrow" w:hAnsi="Arial Narrow"/>
                <w:sz w:val="20"/>
                <w:szCs w:val="24"/>
                <w:lang w:eastAsia="en-GB"/>
              </w:rPr>
              <w:t>Treatment effectiveness</w:t>
            </w:r>
          </w:p>
        </w:tc>
        <w:tc>
          <w:tcPr>
            <w:tcW w:w="2987" w:type="pct"/>
          </w:tcPr>
          <w:p w14:paraId="2E2359F8" w14:textId="77777777" w:rsidR="00DD13A3" w:rsidRPr="00DD13A3" w:rsidRDefault="00DD13A3" w:rsidP="00DD13A3">
            <w:pPr>
              <w:keepNext/>
              <w:keepLines/>
              <w:widowControl w:val="0"/>
              <w:spacing w:before="40" w:after="40" w:line="256" w:lineRule="auto"/>
              <w:rPr>
                <w:rFonts w:ascii="Arial Narrow" w:hAnsi="Arial Narrow"/>
                <w:sz w:val="20"/>
                <w:szCs w:val="24"/>
                <w:lang w:eastAsia="en-GB"/>
              </w:rPr>
            </w:pPr>
            <w:proofErr w:type="spellStart"/>
            <w:r w:rsidRPr="00DD13A3">
              <w:rPr>
                <w:rFonts w:ascii="Arial Narrow" w:hAnsi="Arial Narrow"/>
                <w:sz w:val="20"/>
                <w:szCs w:val="24"/>
                <w:lang w:eastAsia="en-GB"/>
              </w:rPr>
              <w:t>PROfound</w:t>
            </w:r>
            <w:proofErr w:type="spellEnd"/>
            <w:r w:rsidRPr="00DD13A3">
              <w:rPr>
                <w:rFonts w:ascii="Arial Narrow" w:hAnsi="Arial Narrow"/>
                <w:sz w:val="20"/>
                <w:szCs w:val="24"/>
                <w:lang w:eastAsia="en-GB"/>
              </w:rPr>
              <w:t xml:space="preserve"> trial: open label, randomised, phase 3 study of olaparib vs enzalutamide or abiraterone in </w:t>
            </w:r>
            <w:proofErr w:type="spellStart"/>
            <w:r w:rsidRPr="00DD13A3">
              <w:rPr>
                <w:rFonts w:ascii="Arial Narrow" w:hAnsi="Arial Narrow"/>
                <w:sz w:val="20"/>
                <w:szCs w:val="24"/>
                <w:lang w:eastAsia="en-GB"/>
              </w:rPr>
              <w:t>mCRPC</w:t>
            </w:r>
            <w:proofErr w:type="spellEnd"/>
            <w:r w:rsidRPr="00DD13A3">
              <w:rPr>
                <w:rFonts w:ascii="Arial Narrow" w:hAnsi="Arial Narrow"/>
                <w:sz w:val="20"/>
                <w:szCs w:val="24"/>
                <w:lang w:eastAsia="en-GB"/>
              </w:rPr>
              <w:t xml:space="preserve"> with HRR alterations and a subpopulation with </w:t>
            </w:r>
            <w:r w:rsidRPr="00DD13A3">
              <w:rPr>
                <w:rFonts w:ascii="Arial Narrow" w:hAnsi="Arial Narrow"/>
                <w:i/>
                <w:sz w:val="20"/>
                <w:szCs w:val="24"/>
                <w:lang w:eastAsia="en-GB"/>
              </w:rPr>
              <w:t>BRCA1/2</w:t>
            </w:r>
            <w:r w:rsidRPr="00DD13A3">
              <w:rPr>
                <w:rFonts w:ascii="Arial Narrow" w:hAnsi="Arial Narrow"/>
                <w:sz w:val="20"/>
                <w:szCs w:val="24"/>
                <w:lang w:eastAsia="en-GB"/>
              </w:rPr>
              <w:t>m.</w:t>
            </w:r>
          </w:p>
        </w:tc>
        <w:tc>
          <w:tcPr>
            <w:tcW w:w="915" w:type="pct"/>
          </w:tcPr>
          <w:p w14:paraId="0DB1835F" w14:textId="77777777" w:rsidR="008423D9" w:rsidRDefault="00940B7B" w:rsidP="00DD13A3">
            <w:pPr>
              <w:keepNext/>
              <w:keepLines/>
              <w:widowControl w:val="0"/>
              <w:spacing w:before="40" w:after="40" w:line="256" w:lineRule="auto"/>
              <w:rPr>
                <w:rFonts w:ascii="Arial Narrow" w:hAnsi="Arial Narrow"/>
                <w:sz w:val="20"/>
                <w:szCs w:val="24"/>
                <w:lang w:eastAsia="en-GB"/>
              </w:rPr>
            </w:pPr>
            <w:sdt>
              <w:sdtPr>
                <w:rPr>
                  <w:rFonts w:ascii="Arial Narrow" w:hAnsi="Arial Narrow"/>
                  <w:sz w:val="20"/>
                  <w:szCs w:val="24"/>
                  <w:lang w:eastAsia="en-GB"/>
                </w:rPr>
                <w:id w:val="805974967"/>
                <w14:checkbox>
                  <w14:checked w14:val="1"/>
                  <w14:checkedState w14:val="2612" w14:font="MS Gothic"/>
                  <w14:uncheckedState w14:val="2610" w14:font="MS Gothic"/>
                </w14:checkbox>
              </w:sdtPr>
              <w:sdtEndPr/>
              <w:sdtContent>
                <w:r w:rsidR="00DD13A3" w:rsidRPr="00DD13A3">
                  <w:rPr>
                    <w:rFonts w:ascii="Segoe UI Symbol" w:eastAsia="MS Gothic" w:hAnsi="Segoe UI Symbol" w:cs="Segoe UI Symbol"/>
                    <w:sz w:val="20"/>
                    <w:szCs w:val="24"/>
                    <w:lang w:eastAsia="en-GB"/>
                  </w:rPr>
                  <w:t>☒</w:t>
                </w:r>
              </w:sdtContent>
            </w:sdt>
            <w:r w:rsidR="00DD13A3" w:rsidRPr="00DD13A3">
              <w:rPr>
                <w:rFonts w:ascii="Arial Narrow" w:hAnsi="Arial Narrow"/>
                <w:sz w:val="20"/>
                <w:szCs w:val="24"/>
                <w:lang w:eastAsia="en-GB"/>
              </w:rPr>
              <w:tab/>
              <w:t>k=1</w:t>
            </w:r>
          </w:p>
          <w:p w14:paraId="1D3F453B" w14:textId="4F9B2399" w:rsidR="00DD13A3" w:rsidRPr="00DD13A3" w:rsidRDefault="00DD13A3" w:rsidP="00DD13A3">
            <w:pPr>
              <w:keepNext/>
              <w:keepLines/>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ab/>
              <w:t>n=</w:t>
            </w:r>
            <w:r w:rsidRPr="00DD13A3">
              <w:rPr>
                <w:rFonts w:ascii="Arial Narrow" w:hAnsi="Arial Narrow"/>
                <w:iCs/>
                <w:sz w:val="20"/>
                <w:szCs w:val="24"/>
                <w:lang w:eastAsia="en-GB"/>
              </w:rPr>
              <w:t>245</w:t>
            </w:r>
          </w:p>
        </w:tc>
      </w:tr>
    </w:tbl>
    <w:p w14:paraId="4C340A48" w14:textId="77777777" w:rsidR="00DD13A3" w:rsidRPr="00DD13A3" w:rsidRDefault="00DD13A3" w:rsidP="00DD13A3">
      <w:pPr>
        <w:widowControl w:val="0"/>
        <w:spacing w:after="240"/>
        <w:contextualSpacing/>
        <w:jc w:val="both"/>
        <w:rPr>
          <w:rFonts w:ascii="Arial Narrow" w:hAnsi="Arial Narrow" w:cs="Arial"/>
          <w:snapToGrid w:val="0"/>
          <w:sz w:val="18"/>
          <w:lang w:eastAsia="en-GB"/>
        </w:rPr>
      </w:pPr>
      <w:r w:rsidRPr="00DD13A3">
        <w:rPr>
          <w:rFonts w:ascii="Arial Narrow" w:hAnsi="Arial Narrow" w:cs="Arial"/>
          <w:snapToGrid w:val="0"/>
          <w:sz w:val="18"/>
          <w:lang w:eastAsia="en-GB"/>
        </w:rPr>
        <w:t>Source: Constructed during the evaluation</w:t>
      </w:r>
    </w:p>
    <w:p w14:paraId="037B4AF2" w14:textId="5644C3C0" w:rsidR="00DD13A3" w:rsidRPr="00DD13A3" w:rsidRDefault="00F97785" w:rsidP="007C2DC0">
      <w:pPr>
        <w:widowControl w:val="0"/>
        <w:contextualSpacing/>
        <w:jc w:val="both"/>
        <w:rPr>
          <w:rFonts w:ascii="Arial Narrow" w:hAnsi="Arial Narrow" w:cs="Arial"/>
          <w:snapToGrid w:val="0"/>
          <w:sz w:val="18"/>
          <w:lang w:eastAsia="en-GB"/>
        </w:rPr>
      </w:pPr>
      <w:r w:rsidRPr="00F97785">
        <w:rPr>
          <w:rFonts w:ascii="Arial Narrow" w:hAnsi="Arial Narrow" w:cs="Arial"/>
          <w:snapToGrid w:val="0"/>
          <w:sz w:val="18"/>
          <w:lang w:eastAsia="en-GB"/>
        </w:rPr>
        <w:t xml:space="preserve">BRCA1/2m </w:t>
      </w:r>
      <w:r>
        <w:rPr>
          <w:rFonts w:ascii="Arial Narrow" w:hAnsi="Arial Narrow" w:cs="Arial"/>
          <w:snapToGrid w:val="0"/>
          <w:sz w:val="18"/>
          <w:lang w:eastAsia="en-GB"/>
        </w:rPr>
        <w:t xml:space="preserve">= </w:t>
      </w:r>
      <w:r w:rsidRPr="00A90C1E">
        <w:rPr>
          <w:rFonts w:ascii="Arial Narrow" w:hAnsi="Arial Narrow" w:cs="Arial"/>
          <w:i/>
          <w:snapToGrid w:val="0"/>
          <w:sz w:val="18"/>
          <w:lang w:eastAsia="en-GB"/>
        </w:rPr>
        <w:t>BRCA</w:t>
      </w:r>
      <w:r>
        <w:rPr>
          <w:rFonts w:ascii="Arial Narrow" w:hAnsi="Arial Narrow" w:cs="Arial"/>
          <w:snapToGrid w:val="0"/>
          <w:sz w:val="18"/>
          <w:lang w:eastAsia="en-GB"/>
        </w:rPr>
        <w:t xml:space="preserve">1 or </w:t>
      </w:r>
      <w:r>
        <w:rPr>
          <w:rFonts w:ascii="Arial Narrow" w:hAnsi="Arial Narrow" w:cs="Arial"/>
          <w:i/>
          <w:snapToGrid w:val="0"/>
          <w:sz w:val="18"/>
          <w:lang w:eastAsia="en-GB"/>
        </w:rPr>
        <w:t>BRCA2</w:t>
      </w:r>
      <w:r>
        <w:rPr>
          <w:rFonts w:ascii="Arial Narrow" w:hAnsi="Arial Narrow" w:cs="Arial"/>
          <w:snapToGrid w:val="0"/>
          <w:sz w:val="18"/>
          <w:lang w:eastAsia="en-GB"/>
        </w:rPr>
        <w:t xml:space="preserve"> pathogenic gene variant; </w:t>
      </w:r>
      <w:r w:rsidR="00DD13A3" w:rsidRPr="00DD13A3">
        <w:rPr>
          <w:rFonts w:ascii="Arial Narrow" w:hAnsi="Arial Narrow" w:cs="Arial"/>
          <w:snapToGrid w:val="0"/>
          <w:sz w:val="18"/>
          <w:lang w:eastAsia="en-GB"/>
        </w:rPr>
        <w:t xml:space="preserve">CCP=Comprehensive Cancer Capture Panel, </w:t>
      </w:r>
      <w:proofErr w:type="spellStart"/>
      <w:r w:rsidR="00DD13A3" w:rsidRPr="00DD13A3">
        <w:rPr>
          <w:rFonts w:ascii="Arial Narrow" w:hAnsi="Arial Narrow" w:cs="Arial"/>
          <w:snapToGrid w:val="0"/>
          <w:sz w:val="18"/>
          <w:lang w:eastAsia="en-GB"/>
        </w:rPr>
        <w:t>evNGS</w:t>
      </w:r>
      <w:proofErr w:type="spellEnd"/>
      <w:r w:rsidR="00DD13A3" w:rsidRPr="00DD13A3">
        <w:rPr>
          <w:rFonts w:ascii="Arial Narrow" w:hAnsi="Arial Narrow" w:cs="Arial"/>
          <w:snapToGrid w:val="0"/>
          <w:sz w:val="18"/>
          <w:lang w:eastAsia="en-GB"/>
        </w:rPr>
        <w:t>= externally validated NGS assay, F1CDx=</w:t>
      </w:r>
      <w:proofErr w:type="spellStart"/>
      <w:r w:rsidR="00DD13A3" w:rsidRPr="00DD13A3">
        <w:rPr>
          <w:rFonts w:ascii="Arial Narrow" w:hAnsi="Arial Narrow" w:cs="Arial"/>
          <w:snapToGrid w:val="0"/>
          <w:sz w:val="18"/>
          <w:lang w:eastAsia="en-GB"/>
        </w:rPr>
        <w:t>FoundationOne®CDx</w:t>
      </w:r>
      <w:proofErr w:type="spellEnd"/>
      <w:r w:rsidR="00DD13A3" w:rsidRPr="00DD13A3">
        <w:rPr>
          <w:rFonts w:ascii="Arial Narrow" w:hAnsi="Arial Narrow" w:cs="Arial"/>
          <w:snapToGrid w:val="0"/>
          <w:sz w:val="18"/>
          <w:lang w:eastAsia="en-GB"/>
        </w:rPr>
        <w:t>, F1LTD=</w:t>
      </w:r>
      <w:proofErr w:type="spellStart"/>
      <w:r w:rsidR="00DD13A3" w:rsidRPr="00DD13A3">
        <w:rPr>
          <w:rFonts w:ascii="Arial Narrow" w:hAnsi="Arial Narrow" w:cs="Arial"/>
          <w:snapToGrid w:val="0"/>
          <w:sz w:val="18"/>
          <w:lang w:eastAsia="en-GB"/>
        </w:rPr>
        <w:t>FoundationOne</w:t>
      </w:r>
      <w:proofErr w:type="spellEnd"/>
      <w:r w:rsidR="00DD13A3" w:rsidRPr="00DD13A3">
        <w:rPr>
          <w:rFonts w:ascii="Arial Narrow" w:hAnsi="Arial Narrow" w:cs="Arial"/>
          <w:snapToGrid w:val="0"/>
          <w:sz w:val="18"/>
          <w:lang w:eastAsia="en-GB"/>
        </w:rPr>
        <w:t xml:space="preserve"> laboratory developed test, FRCP=Familial Risk Cancer Panel, HRR=homologous recombination repair, k=number of studies, </w:t>
      </w:r>
      <w:proofErr w:type="spellStart"/>
      <w:r w:rsidR="00DD13A3" w:rsidRPr="00DD13A3">
        <w:rPr>
          <w:rFonts w:ascii="Arial Narrow" w:hAnsi="Arial Narrow" w:cs="Arial"/>
          <w:snapToGrid w:val="0"/>
          <w:sz w:val="18"/>
          <w:lang w:eastAsia="en-GB"/>
        </w:rPr>
        <w:t>mCRPC</w:t>
      </w:r>
      <w:proofErr w:type="spellEnd"/>
      <w:r w:rsidR="00DD13A3" w:rsidRPr="00DD13A3">
        <w:rPr>
          <w:rFonts w:ascii="Arial Narrow" w:hAnsi="Arial Narrow" w:cs="Arial"/>
          <w:snapToGrid w:val="0"/>
          <w:sz w:val="18"/>
          <w:lang w:eastAsia="en-GB"/>
        </w:rPr>
        <w:t>=metastatic castration resistant prostate cancer, n=number of patients, NGS=next generation sequencing, NHA=novel hormonal agent.</w:t>
      </w:r>
    </w:p>
    <w:p w14:paraId="36B411E0" w14:textId="3AD7E048" w:rsidR="00DD13A3" w:rsidRPr="00DD13A3" w:rsidRDefault="00DD13A3" w:rsidP="007C2DC0">
      <w:pPr>
        <w:spacing w:before="240"/>
        <w:rPr>
          <w:rFonts w:eastAsia="Calibri" w:cs="Arial"/>
          <w:szCs w:val="22"/>
          <w:lang w:eastAsia="en-US"/>
        </w:rPr>
      </w:pPr>
      <w:r w:rsidRPr="00DD13A3">
        <w:rPr>
          <w:rFonts w:eastAsia="Calibri" w:cs="Arial"/>
          <w:szCs w:val="22"/>
          <w:lang w:eastAsia="en-US"/>
        </w:rPr>
        <w:t xml:space="preserve">A summary of data availability to inform comparisons is </w:t>
      </w:r>
      <w:r w:rsidRPr="00DD13A3">
        <w:t>presented</w:t>
      </w:r>
      <w:r w:rsidRPr="00DD13A3">
        <w:rPr>
          <w:rFonts w:eastAsia="Calibri" w:cs="Arial"/>
          <w:szCs w:val="22"/>
          <w:lang w:eastAsia="en-US"/>
        </w:rPr>
        <w:t xml:space="preserve"> in the table below.</w:t>
      </w:r>
    </w:p>
    <w:p w14:paraId="6DF9933C" w14:textId="63252A4C" w:rsidR="00DD13A3" w:rsidRPr="00DD13A3" w:rsidRDefault="00DD13A3" w:rsidP="007C2DC0">
      <w:pPr>
        <w:keepNext/>
        <w:spacing w:before="240" w:after="40"/>
        <w:jc w:val="both"/>
        <w:outlineLvl w:val="4"/>
        <w:rPr>
          <w:rFonts w:ascii="Arial Narrow" w:hAnsi="Arial Narrow" w:cs="Arial"/>
          <w:b/>
          <w:bCs/>
          <w:iCs/>
          <w:sz w:val="20"/>
          <w:lang w:eastAsia="en-US"/>
        </w:rPr>
      </w:pPr>
      <w:r w:rsidRPr="00DD13A3">
        <w:rPr>
          <w:rFonts w:ascii="Arial Narrow" w:hAnsi="Arial Narrow" w:cs="Arial"/>
          <w:b/>
          <w:bCs/>
          <w:iCs/>
          <w:sz w:val="20"/>
          <w:lang w:eastAsia="en-US"/>
        </w:rPr>
        <w:t xml:space="preserve">Table </w:t>
      </w:r>
      <w:r w:rsidRPr="00DD13A3">
        <w:rPr>
          <w:rFonts w:ascii="Arial Narrow" w:hAnsi="Arial Narrow" w:cs="Arial"/>
          <w:b/>
          <w:bCs/>
          <w:iCs/>
          <w:sz w:val="20"/>
          <w:lang w:eastAsia="en-US"/>
        </w:rPr>
        <w:fldChar w:fldCharType="begin"/>
      </w:r>
      <w:r w:rsidRPr="00DD13A3">
        <w:rPr>
          <w:rFonts w:ascii="Arial Narrow" w:hAnsi="Arial Narrow" w:cs="Arial"/>
          <w:b/>
          <w:bCs/>
          <w:iCs/>
          <w:sz w:val="20"/>
          <w:lang w:eastAsia="en-US"/>
        </w:rPr>
        <w:instrText xml:space="preserve"> SEQ Table \* ARABIC </w:instrText>
      </w:r>
      <w:r w:rsidRPr="00DD13A3">
        <w:rPr>
          <w:rFonts w:ascii="Arial Narrow" w:hAnsi="Arial Narrow" w:cs="Arial"/>
          <w:b/>
          <w:bCs/>
          <w:iCs/>
          <w:sz w:val="20"/>
          <w:lang w:eastAsia="en-US"/>
        </w:rPr>
        <w:fldChar w:fldCharType="separate"/>
      </w:r>
      <w:r w:rsidR="006C2E0B">
        <w:rPr>
          <w:rFonts w:ascii="Arial Narrow" w:hAnsi="Arial Narrow" w:cs="Arial"/>
          <w:b/>
          <w:bCs/>
          <w:iCs/>
          <w:noProof/>
          <w:sz w:val="20"/>
          <w:lang w:eastAsia="en-US"/>
        </w:rPr>
        <w:t>5</w:t>
      </w:r>
      <w:r w:rsidRPr="00DD13A3">
        <w:rPr>
          <w:rFonts w:ascii="Arial Narrow" w:hAnsi="Arial Narrow" w:cs="Arial"/>
          <w:b/>
          <w:bCs/>
          <w:iCs/>
          <w:noProof/>
          <w:sz w:val="20"/>
          <w:lang w:eastAsia="en-US"/>
        </w:rPr>
        <w:fldChar w:fldCharType="end"/>
      </w:r>
      <w:r w:rsidRPr="00DD13A3">
        <w:rPr>
          <w:rFonts w:ascii="Arial Narrow" w:hAnsi="Arial Narrow" w:cs="Arial"/>
          <w:b/>
          <w:bCs/>
          <w:iCs/>
          <w:sz w:val="20"/>
          <w:lang w:eastAsia="en-US"/>
        </w:rPr>
        <w:tab/>
      </w:r>
      <w:r w:rsidRPr="00DD13A3">
        <w:rPr>
          <w:rFonts w:ascii="Arial Narrow" w:eastAsia="Calibri" w:hAnsi="Arial Narrow" w:cs="Arial"/>
          <w:b/>
          <w:bCs/>
          <w:iCs/>
          <w:sz w:val="20"/>
          <w:szCs w:val="18"/>
          <w:lang w:eastAsia="en-US"/>
        </w:rPr>
        <w:t>Data availability to inform comparisons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Description w:val="Data availability to inform comparisons"/>
      </w:tblPr>
      <w:tblGrid>
        <w:gridCol w:w="2546"/>
        <w:gridCol w:w="1843"/>
        <w:gridCol w:w="4627"/>
      </w:tblGrid>
      <w:tr w:rsidR="00DD13A3" w:rsidRPr="00DD13A3" w14:paraId="5E31313F" w14:textId="77777777" w:rsidTr="00360CB8">
        <w:trPr>
          <w:tblHeader/>
        </w:trPr>
        <w:tc>
          <w:tcPr>
            <w:tcW w:w="1412" w:type="pct"/>
            <w:tcBorders>
              <w:top w:val="single" w:sz="4" w:space="0" w:color="000000"/>
              <w:left w:val="single" w:sz="4" w:space="0" w:color="000000"/>
              <w:bottom w:val="single" w:sz="4" w:space="0" w:color="000000"/>
              <w:right w:val="single" w:sz="4" w:space="0" w:color="000000"/>
            </w:tcBorders>
            <w:hideMark/>
          </w:tcPr>
          <w:p w14:paraId="1A9245E8" w14:textId="77777777" w:rsidR="00DD13A3" w:rsidRPr="00DD13A3" w:rsidRDefault="00DD13A3" w:rsidP="00DD13A3">
            <w:pPr>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Proposed test vs no test</w:t>
            </w:r>
          </w:p>
        </w:tc>
        <w:tc>
          <w:tcPr>
            <w:tcW w:w="3588" w:type="pct"/>
            <w:gridSpan w:val="2"/>
            <w:tcBorders>
              <w:top w:val="single" w:sz="4" w:space="0" w:color="000000"/>
              <w:left w:val="single" w:sz="4" w:space="0" w:color="000000"/>
              <w:bottom w:val="single" w:sz="4" w:space="0" w:color="000000"/>
              <w:right w:val="single" w:sz="4" w:space="0" w:color="000000"/>
            </w:tcBorders>
            <w:hideMark/>
          </w:tcPr>
          <w:p w14:paraId="78909857" w14:textId="77777777" w:rsidR="00DD13A3" w:rsidRPr="00DD13A3" w:rsidRDefault="00DD13A3" w:rsidP="00DD13A3">
            <w:pPr>
              <w:widowControl w:val="0"/>
              <w:spacing w:before="40" w:after="40" w:line="256" w:lineRule="auto"/>
              <w:rPr>
                <w:rFonts w:ascii="Arial Narrow" w:hAnsi="Arial Narrow"/>
                <w:b/>
                <w:sz w:val="20"/>
                <w:szCs w:val="24"/>
                <w:lang w:eastAsia="en-GB"/>
              </w:rPr>
            </w:pPr>
            <w:r w:rsidRPr="00DD13A3">
              <w:rPr>
                <w:rFonts w:ascii="Arial Narrow" w:hAnsi="Arial Narrow"/>
                <w:sz w:val="20"/>
                <w:szCs w:val="24"/>
                <w:lang w:eastAsia="en-GB"/>
              </w:rPr>
              <w:t>No evidence presented</w:t>
            </w:r>
          </w:p>
        </w:tc>
      </w:tr>
      <w:tr w:rsidR="00DD13A3" w:rsidRPr="00DD13A3" w14:paraId="1DD5D39E" w14:textId="77777777" w:rsidTr="00AB5518">
        <w:tc>
          <w:tcPr>
            <w:tcW w:w="1412" w:type="pct"/>
            <w:tcBorders>
              <w:top w:val="single" w:sz="4" w:space="0" w:color="000000"/>
              <w:left w:val="single" w:sz="4" w:space="0" w:color="000000"/>
              <w:bottom w:val="single" w:sz="4" w:space="0" w:color="000000"/>
              <w:right w:val="single" w:sz="4" w:space="0" w:color="000000"/>
            </w:tcBorders>
            <w:hideMark/>
          </w:tcPr>
          <w:p w14:paraId="203B309B" w14:textId="77777777" w:rsidR="00DD13A3" w:rsidRPr="00DD13A3" w:rsidRDefault="00DD13A3" w:rsidP="00DD13A3">
            <w:pPr>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Proposed test vs alternative test</w:t>
            </w:r>
          </w:p>
        </w:tc>
        <w:tc>
          <w:tcPr>
            <w:tcW w:w="3588" w:type="pct"/>
            <w:gridSpan w:val="2"/>
            <w:tcBorders>
              <w:top w:val="single" w:sz="4" w:space="0" w:color="000000"/>
              <w:left w:val="single" w:sz="4" w:space="0" w:color="000000"/>
              <w:bottom w:val="single" w:sz="4" w:space="0" w:color="000000"/>
              <w:right w:val="single" w:sz="4" w:space="0" w:color="000000"/>
            </w:tcBorders>
            <w:hideMark/>
          </w:tcPr>
          <w:p w14:paraId="19C4614F" w14:textId="77777777" w:rsidR="00DD13A3" w:rsidRPr="00DD13A3" w:rsidRDefault="00DD13A3" w:rsidP="00DD13A3">
            <w:pPr>
              <w:widowControl w:val="0"/>
              <w:spacing w:before="40" w:after="40" w:line="256" w:lineRule="auto"/>
              <w:rPr>
                <w:rFonts w:ascii="Arial Narrow" w:hAnsi="Arial Narrow"/>
                <w:b/>
                <w:sz w:val="20"/>
                <w:szCs w:val="24"/>
                <w:lang w:eastAsia="en-GB"/>
              </w:rPr>
            </w:pPr>
            <w:r w:rsidRPr="00DD13A3">
              <w:rPr>
                <w:rFonts w:ascii="Arial Narrow" w:hAnsi="Arial Narrow"/>
                <w:sz w:val="20"/>
                <w:szCs w:val="24"/>
                <w:lang w:eastAsia="en-GB"/>
              </w:rPr>
              <w:t>No evidence presented</w:t>
            </w:r>
          </w:p>
        </w:tc>
      </w:tr>
      <w:tr w:rsidR="00DD13A3" w:rsidRPr="00DD13A3" w14:paraId="7F6AACB0" w14:textId="77777777" w:rsidTr="00AB5518">
        <w:tc>
          <w:tcPr>
            <w:tcW w:w="1412" w:type="pct"/>
            <w:tcBorders>
              <w:top w:val="single" w:sz="4" w:space="0" w:color="000000"/>
              <w:left w:val="single" w:sz="4" w:space="0" w:color="000000"/>
              <w:bottom w:val="single" w:sz="4" w:space="0" w:color="000000"/>
              <w:right w:val="single" w:sz="4" w:space="0" w:color="000000"/>
            </w:tcBorders>
          </w:tcPr>
          <w:p w14:paraId="2F24058E" w14:textId="7B1D07FE" w:rsidR="00DD13A3" w:rsidRPr="00DD13A3" w:rsidRDefault="00DD13A3" w:rsidP="00980FC1">
            <w:pPr>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 xml:space="preserve">Test + </w:t>
            </w:r>
            <w:r w:rsidR="00980FC1">
              <w:rPr>
                <w:rFonts w:ascii="Arial Narrow" w:hAnsi="Arial Narrow"/>
                <w:sz w:val="20"/>
                <w:szCs w:val="24"/>
                <w:lang w:eastAsia="en-GB"/>
              </w:rPr>
              <w:t>medicine</w:t>
            </w:r>
          </w:p>
        </w:tc>
        <w:tc>
          <w:tcPr>
            <w:tcW w:w="1022" w:type="pct"/>
            <w:tcBorders>
              <w:top w:val="single" w:sz="4" w:space="0" w:color="000000"/>
              <w:left w:val="single" w:sz="4" w:space="0" w:color="000000"/>
              <w:bottom w:val="single" w:sz="4" w:space="0" w:color="000000"/>
              <w:right w:val="single" w:sz="4" w:space="0" w:color="000000"/>
            </w:tcBorders>
            <w:hideMark/>
          </w:tcPr>
          <w:p w14:paraId="13F5D20F" w14:textId="77777777" w:rsidR="00DD13A3" w:rsidRPr="00DD13A3" w:rsidRDefault="00DD13A3" w:rsidP="00DD13A3">
            <w:pPr>
              <w:widowControl w:val="0"/>
              <w:spacing w:before="40" w:after="40" w:line="256" w:lineRule="auto"/>
              <w:rPr>
                <w:rFonts w:ascii="Arial Narrow" w:hAnsi="Arial Narrow"/>
                <w:b/>
                <w:sz w:val="20"/>
                <w:szCs w:val="24"/>
                <w:lang w:eastAsia="en-GB"/>
              </w:rPr>
            </w:pPr>
            <w:r w:rsidRPr="00DD13A3">
              <w:rPr>
                <w:rFonts w:ascii="Arial Narrow" w:hAnsi="Arial Narrow"/>
                <w:b/>
                <w:sz w:val="20"/>
                <w:szCs w:val="24"/>
                <w:lang w:eastAsia="en-GB"/>
              </w:rPr>
              <w:t>Olaparib</w:t>
            </w:r>
          </w:p>
        </w:tc>
        <w:tc>
          <w:tcPr>
            <w:tcW w:w="2566" w:type="pct"/>
            <w:tcBorders>
              <w:top w:val="single" w:sz="4" w:space="0" w:color="000000"/>
              <w:left w:val="single" w:sz="4" w:space="0" w:color="000000"/>
              <w:bottom w:val="single" w:sz="4" w:space="0" w:color="000000"/>
              <w:right w:val="single" w:sz="4" w:space="0" w:color="000000"/>
            </w:tcBorders>
            <w:hideMark/>
          </w:tcPr>
          <w:p w14:paraId="58884923" w14:textId="77777777" w:rsidR="00DD13A3" w:rsidRPr="00DD13A3" w:rsidRDefault="00DD13A3" w:rsidP="00DD13A3">
            <w:pPr>
              <w:widowControl w:val="0"/>
              <w:spacing w:before="40" w:after="40" w:line="256" w:lineRule="auto"/>
              <w:rPr>
                <w:rFonts w:ascii="Arial Narrow" w:hAnsi="Arial Narrow"/>
                <w:b/>
                <w:sz w:val="20"/>
                <w:szCs w:val="24"/>
                <w:lang w:eastAsia="en-GB"/>
              </w:rPr>
            </w:pPr>
            <w:r w:rsidRPr="00DD13A3">
              <w:rPr>
                <w:rFonts w:ascii="Arial Narrow" w:hAnsi="Arial Narrow"/>
                <w:b/>
                <w:sz w:val="20"/>
                <w:szCs w:val="24"/>
                <w:lang w:eastAsia="en-GB"/>
              </w:rPr>
              <w:t>Nominated comparators: abiraterone or enzalutamide</w:t>
            </w:r>
          </w:p>
        </w:tc>
      </w:tr>
      <w:tr w:rsidR="00DD13A3" w:rsidRPr="00DD13A3" w14:paraId="0F6D0251" w14:textId="77777777" w:rsidTr="00AB5518">
        <w:tc>
          <w:tcPr>
            <w:tcW w:w="1412" w:type="pct"/>
            <w:tcBorders>
              <w:top w:val="single" w:sz="4" w:space="0" w:color="000000"/>
              <w:left w:val="single" w:sz="4" w:space="0" w:color="000000"/>
              <w:bottom w:val="single" w:sz="4" w:space="0" w:color="000000"/>
              <w:right w:val="single" w:sz="4" w:space="0" w:color="000000"/>
            </w:tcBorders>
            <w:hideMark/>
          </w:tcPr>
          <w:p w14:paraId="3A6FC822" w14:textId="77777777" w:rsidR="00DD13A3" w:rsidRPr="00DD13A3" w:rsidRDefault="00DD13A3" w:rsidP="00DD13A3">
            <w:pPr>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Biomarker test positive</w:t>
            </w:r>
          </w:p>
        </w:tc>
        <w:tc>
          <w:tcPr>
            <w:tcW w:w="1022" w:type="pct"/>
            <w:tcBorders>
              <w:top w:val="single" w:sz="4" w:space="0" w:color="000000"/>
              <w:left w:val="single" w:sz="4" w:space="0" w:color="000000"/>
              <w:bottom w:val="single" w:sz="4" w:space="0" w:color="000000"/>
              <w:right w:val="single" w:sz="4" w:space="0" w:color="000000"/>
            </w:tcBorders>
            <w:hideMark/>
          </w:tcPr>
          <w:p w14:paraId="6D5DA547" w14:textId="77777777" w:rsidR="00DD13A3" w:rsidRPr="00DD13A3" w:rsidRDefault="00DD13A3" w:rsidP="00DD13A3">
            <w:pPr>
              <w:widowControl w:val="0"/>
              <w:spacing w:before="40" w:after="40" w:line="256" w:lineRule="auto"/>
              <w:rPr>
                <w:rFonts w:ascii="Arial Narrow" w:hAnsi="Arial Narrow"/>
                <w:sz w:val="20"/>
                <w:szCs w:val="24"/>
                <w:lang w:eastAsia="en-GB"/>
              </w:rPr>
            </w:pPr>
            <w:proofErr w:type="spellStart"/>
            <w:r w:rsidRPr="00DD13A3">
              <w:rPr>
                <w:rFonts w:ascii="Arial Narrow" w:hAnsi="Arial Narrow"/>
                <w:sz w:val="20"/>
                <w:szCs w:val="24"/>
                <w:lang w:eastAsia="en-GB"/>
              </w:rPr>
              <w:t>PROfound</w:t>
            </w:r>
            <w:proofErr w:type="spellEnd"/>
          </w:p>
        </w:tc>
        <w:tc>
          <w:tcPr>
            <w:tcW w:w="2566" w:type="pct"/>
            <w:tcBorders>
              <w:top w:val="single" w:sz="4" w:space="0" w:color="000000"/>
              <w:left w:val="single" w:sz="4" w:space="0" w:color="000000"/>
              <w:bottom w:val="single" w:sz="4" w:space="0" w:color="000000"/>
              <w:right w:val="single" w:sz="4" w:space="0" w:color="000000"/>
            </w:tcBorders>
            <w:hideMark/>
          </w:tcPr>
          <w:p w14:paraId="3C9A8855" w14:textId="77777777" w:rsidR="00DD13A3" w:rsidRPr="00DD13A3" w:rsidRDefault="00DD13A3" w:rsidP="00DD13A3">
            <w:pPr>
              <w:widowControl w:val="0"/>
              <w:spacing w:before="40" w:after="40" w:line="256" w:lineRule="auto"/>
              <w:rPr>
                <w:rFonts w:ascii="Arial Narrow" w:hAnsi="Arial Narrow"/>
                <w:sz w:val="20"/>
                <w:szCs w:val="24"/>
                <w:lang w:eastAsia="en-GB"/>
              </w:rPr>
            </w:pPr>
            <w:proofErr w:type="spellStart"/>
            <w:r w:rsidRPr="00DD13A3">
              <w:rPr>
                <w:rFonts w:ascii="Arial Narrow" w:hAnsi="Arial Narrow"/>
                <w:sz w:val="20"/>
                <w:szCs w:val="24"/>
                <w:lang w:eastAsia="en-GB"/>
              </w:rPr>
              <w:t>PROfound</w:t>
            </w:r>
            <w:proofErr w:type="spellEnd"/>
          </w:p>
        </w:tc>
      </w:tr>
      <w:tr w:rsidR="00DD13A3" w:rsidRPr="00DD13A3" w14:paraId="43F4ACA1" w14:textId="77777777" w:rsidTr="00AB5518">
        <w:tc>
          <w:tcPr>
            <w:tcW w:w="1412" w:type="pct"/>
            <w:tcBorders>
              <w:top w:val="single" w:sz="4" w:space="0" w:color="000000"/>
              <w:left w:val="single" w:sz="4" w:space="0" w:color="000000"/>
              <w:bottom w:val="single" w:sz="4" w:space="0" w:color="000000"/>
              <w:right w:val="single" w:sz="4" w:space="0" w:color="000000"/>
            </w:tcBorders>
            <w:hideMark/>
          </w:tcPr>
          <w:p w14:paraId="63FEA44E" w14:textId="358A2A4A" w:rsidR="00DD13A3" w:rsidRPr="00DD13A3" w:rsidRDefault="00DD13A3" w:rsidP="00DD13A3">
            <w:pPr>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Biomarker test negative</w:t>
            </w:r>
          </w:p>
        </w:tc>
        <w:tc>
          <w:tcPr>
            <w:tcW w:w="1022" w:type="pct"/>
            <w:tcBorders>
              <w:top w:val="single" w:sz="4" w:space="0" w:color="000000"/>
              <w:left w:val="single" w:sz="4" w:space="0" w:color="000000"/>
              <w:bottom w:val="single" w:sz="4" w:space="0" w:color="000000"/>
              <w:right w:val="single" w:sz="4" w:space="0" w:color="000000"/>
            </w:tcBorders>
            <w:hideMark/>
          </w:tcPr>
          <w:p w14:paraId="3AF23E18" w14:textId="77777777" w:rsidR="00DD13A3" w:rsidRPr="00DD13A3" w:rsidRDefault="00DD13A3" w:rsidP="00DD13A3">
            <w:pPr>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No evidence presented</w:t>
            </w:r>
          </w:p>
        </w:tc>
        <w:tc>
          <w:tcPr>
            <w:tcW w:w="2566" w:type="pct"/>
            <w:tcBorders>
              <w:top w:val="single" w:sz="4" w:space="0" w:color="000000"/>
              <w:left w:val="single" w:sz="4" w:space="0" w:color="000000"/>
              <w:bottom w:val="single" w:sz="4" w:space="0" w:color="000000"/>
              <w:right w:val="single" w:sz="4" w:space="0" w:color="000000"/>
            </w:tcBorders>
            <w:hideMark/>
          </w:tcPr>
          <w:p w14:paraId="7A44FEEC" w14:textId="77777777" w:rsidR="00DD13A3" w:rsidRPr="00DD13A3" w:rsidRDefault="00DD13A3" w:rsidP="00DD13A3">
            <w:pPr>
              <w:widowControl w:val="0"/>
              <w:spacing w:before="40" w:after="40" w:line="256" w:lineRule="auto"/>
              <w:rPr>
                <w:rFonts w:ascii="Arial Narrow" w:hAnsi="Arial Narrow"/>
                <w:sz w:val="20"/>
                <w:szCs w:val="24"/>
                <w:lang w:eastAsia="en-GB"/>
              </w:rPr>
            </w:pPr>
            <w:r w:rsidRPr="00DD13A3">
              <w:rPr>
                <w:rFonts w:ascii="Arial Narrow" w:hAnsi="Arial Narrow"/>
                <w:sz w:val="20"/>
                <w:szCs w:val="24"/>
                <w:lang w:eastAsia="en-GB"/>
              </w:rPr>
              <w:t>No evidence presented</w:t>
            </w:r>
          </w:p>
        </w:tc>
      </w:tr>
    </w:tbl>
    <w:p w14:paraId="32A49FFB" w14:textId="77777777" w:rsidR="007C2DC0" w:rsidRDefault="00DD13A3" w:rsidP="007C2DC0">
      <w:pPr>
        <w:widowControl w:val="0"/>
        <w:contextualSpacing/>
        <w:jc w:val="both"/>
        <w:rPr>
          <w:rFonts w:ascii="Arial Narrow" w:hAnsi="Arial Narrow" w:cs="Arial"/>
          <w:snapToGrid w:val="0"/>
          <w:sz w:val="18"/>
          <w:lang w:eastAsia="en-GB"/>
        </w:rPr>
      </w:pPr>
      <w:r w:rsidRPr="00DD13A3">
        <w:rPr>
          <w:rFonts w:ascii="Arial Narrow" w:hAnsi="Arial Narrow" w:cs="Arial"/>
          <w:snapToGrid w:val="0"/>
          <w:sz w:val="18"/>
          <w:lang w:eastAsia="en-GB"/>
        </w:rPr>
        <w:t>Source: Table MSAC.6, p16 of the Commentary</w:t>
      </w:r>
    </w:p>
    <w:p w14:paraId="15B2B0B4" w14:textId="4BAC78D7" w:rsidR="00DD13A3" w:rsidRPr="007C2DC0" w:rsidRDefault="00DD13A3" w:rsidP="007C2DC0">
      <w:pPr>
        <w:widowControl w:val="0"/>
        <w:spacing w:before="240"/>
        <w:rPr>
          <w:rFonts w:ascii="Arial Narrow" w:hAnsi="Arial Narrow" w:cs="Arial"/>
          <w:snapToGrid w:val="0"/>
          <w:sz w:val="18"/>
          <w:lang w:eastAsia="en-GB"/>
        </w:rPr>
      </w:pPr>
      <w:r w:rsidRPr="00DD13A3">
        <w:rPr>
          <w:rFonts w:eastAsia="Calibri" w:cs="Arial"/>
          <w:iCs/>
          <w:szCs w:val="22"/>
          <w:lang w:eastAsia="en-US"/>
        </w:rPr>
        <w:t xml:space="preserve">The Commentary considered that </w:t>
      </w:r>
      <w:r w:rsidR="008423D9" w:rsidRPr="00DD13A3">
        <w:rPr>
          <w:rFonts w:eastAsia="Calibri" w:cs="Arial"/>
          <w:iCs/>
          <w:szCs w:val="22"/>
          <w:lang w:eastAsia="en-US"/>
        </w:rPr>
        <w:t xml:space="preserve">the diagnostic evidence </w:t>
      </w:r>
      <w:r w:rsidR="008423D9">
        <w:rPr>
          <w:rFonts w:eastAsia="Calibri" w:cs="Arial"/>
          <w:iCs/>
          <w:szCs w:val="22"/>
          <w:lang w:eastAsia="en-US"/>
        </w:rPr>
        <w:t>was</w:t>
      </w:r>
      <w:r w:rsidR="008423D9" w:rsidRPr="00DD13A3">
        <w:rPr>
          <w:rFonts w:eastAsia="Calibri" w:cs="Arial"/>
          <w:iCs/>
          <w:szCs w:val="22"/>
          <w:lang w:eastAsia="en-US"/>
        </w:rPr>
        <w:t xml:space="preserve"> poorly presented in the submission </w:t>
      </w:r>
      <w:r w:rsidR="008423D9">
        <w:rPr>
          <w:rFonts w:eastAsia="Calibri" w:cs="Arial"/>
          <w:iCs/>
          <w:szCs w:val="22"/>
          <w:lang w:eastAsia="en-US"/>
        </w:rPr>
        <w:t xml:space="preserve">and </w:t>
      </w:r>
      <w:r w:rsidRPr="00DD13A3">
        <w:rPr>
          <w:rFonts w:eastAsia="Calibri" w:cs="Arial"/>
          <w:iCs/>
          <w:szCs w:val="22"/>
          <w:lang w:eastAsia="en-US"/>
        </w:rPr>
        <w:t xml:space="preserve">there were significant gaps in the </w:t>
      </w:r>
      <w:r w:rsidRPr="00DD13A3">
        <w:t>evidence</w:t>
      </w:r>
      <w:r w:rsidRPr="00DD13A3">
        <w:rPr>
          <w:rFonts w:eastAsia="Calibri" w:cs="Arial"/>
          <w:iCs/>
          <w:szCs w:val="22"/>
          <w:lang w:eastAsia="en-US"/>
        </w:rPr>
        <w:t xml:space="preserve"> presented to support the test performance:</w:t>
      </w:r>
    </w:p>
    <w:p w14:paraId="03319CA5" w14:textId="77777777" w:rsidR="00DD13A3" w:rsidRPr="00DD13A3" w:rsidRDefault="00DD13A3" w:rsidP="00DD13A3">
      <w:pPr>
        <w:numPr>
          <w:ilvl w:val="0"/>
          <w:numId w:val="29"/>
        </w:numPr>
        <w:spacing w:before="120" w:after="120"/>
        <w:contextualSpacing/>
        <w:jc w:val="both"/>
        <w:rPr>
          <w:rFonts w:eastAsia="Calibri" w:cs="Arial"/>
          <w:iCs/>
          <w:szCs w:val="22"/>
          <w:lang w:eastAsia="en-US"/>
        </w:rPr>
      </w:pPr>
      <w:r w:rsidRPr="00DD13A3">
        <w:rPr>
          <w:rFonts w:eastAsia="Calibri" w:cs="Arial"/>
          <w:iCs/>
          <w:szCs w:val="22"/>
          <w:lang w:eastAsia="en-US"/>
        </w:rPr>
        <w:t>There was no direct evidence presented comparing testing with no testing (and no olaparib).</w:t>
      </w:r>
    </w:p>
    <w:p w14:paraId="215322B6" w14:textId="77777777" w:rsidR="00DD13A3" w:rsidRPr="00DD13A3" w:rsidRDefault="00DD13A3" w:rsidP="00DD13A3">
      <w:pPr>
        <w:numPr>
          <w:ilvl w:val="0"/>
          <w:numId w:val="29"/>
        </w:numPr>
        <w:spacing w:before="120" w:after="120"/>
        <w:contextualSpacing/>
        <w:jc w:val="both"/>
        <w:rPr>
          <w:rFonts w:eastAsia="Calibri" w:cs="Arial"/>
          <w:iCs/>
          <w:szCs w:val="22"/>
          <w:lang w:eastAsia="en-US"/>
        </w:rPr>
      </w:pPr>
      <w:r w:rsidRPr="00DD13A3">
        <w:rPr>
          <w:rFonts w:eastAsia="Calibri" w:cs="Arial"/>
          <w:iCs/>
          <w:szCs w:val="22"/>
          <w:lang w:eastAsia="en-US"/>
        </w:rPr>
        <w:t>Considering evidence needed for a linked evidence approach:</w:t>
      </w:r>
    </w:p>
    <w:p w14:paraId="0D675F83" w14:textId="411BE253" w:rsidR="00DD13A3" w:rsidRPr="00DD13A3" w:rsidRDefault="008423D9" w:rsidP="00DD13A3">
      <w:pPr>
        <w:numPr>
          <w:ilvl w:val="1"/>
          <w:numId w:val="29"/>
        </w:numPr>
        <w:spacing w:before="120" w:after="120"/>
        <w:ind w:left="1134" w:hanging="425"/>
        <w:contextualSpacing/>
        <w:jc w:val="both"/>
        <w:rPr>
          <w:rFonts w:eastAsia="Calibri" w:cs="Arial"/>
          <w:iCs/>
          <w:szCs w:val="22"/>
          <w:lang w:eastAsia="en-US"/>
        </w:rPr>
      </w:pPr>
      <w:r>
        <w:rPr>
          <w:rFonts w:eastAsia="Calibri" w:cs="Arial"/>
          <w:iCs/>
          <w:szCs w:val="22"/>
          <w:lang w:eastAsia="en-US"/>
        </w:rPr>
        <w:t>T</w:t>
      </w:r>
      <w:r w:rsidR="00DD13A3" w:rsidRPr="00DD13A3">
        <w:rPr>
          <w:rFonts w:eastAsia="Calibri" w:cs="Arial"/>
          <w:iCs/>
          <w:szCs w:val="22"/>
          <w:lang w:eastAsia="en-US"/>
        </w:rPr>
        <w:t xml:space="preserve">here was no evidence presented in </w:t>
      </w:r>
      <w:r w:rsidR="004D1E22">
        <w:rPr>
          <w:rFonts w:eastAsia="Calibri" w:cs="Arial"/>
          <w:iCs/>
          <w:szCs w:val="22"/>
          <w:lang w:eastAsia="en-US"/>
        </w:rPr>
        <w:t xml:space="preserve">the </w:t>
      </w:r>
      <w:r w:rsidR="00DD13A3" w:rsidRPr="00DD13A3">
        <w:rPr>
          <w:rFonts w:eastAsia="Calibri" w:cs="Arial"/>
          <w:iCs/>
          <w:szCs w:val="22"/>
          <w:lang w:eastAsia="en-US"/>
        </w:rPr>
        <w:t>submission for an appropriate reference standard to co</w:t>
      </w:r>
      <w:r>
        <w:rPr>
          <w:rFonts w:eastAsia="Calibri" w:cs="Arial"/>
          <w:iCs/>
          <w:szCs w:val="22"/>
          <w:lang w:eastAsia="en-US"/>
        </w:rPr>
        <w:t>mpare with the proposed testing.</w:t>
      </w:r>
    </w:p>
    <w:p w14:paraId="51C7E254" w14:textId="5B187344" w:rsidR="00DD13A3" w:rsidRPr="00DD13A3" w:rsidRDefault="008423D9" w:rsidP="00DD13A3">
      <w:pPr>
        <w:numPr>
          <w:ilvl w:val="1"/>
          <w:numId w:val="29"/>
        </w:numPr>
        <w:spacing w:before="120" w:after="120"/>
        <w:ind w:left="1134" w:hanging="425"/>
        <w:contextualSpacing/>
        <w:jc w:val="both"/>
        <w:rPr>
          <w:rFonts w:eastAsia="Calibri" w:cs="Arial"/>
          <w:iCs/>
          <w:szCs w:val="22"/>
          <w:lang w:eastAsia="en-US"/>
        </w:rPr>
      </w:pPr>
      <w:r>
        <w:rPr>
          <w:rFonts w:eastAsia="Calibri" w:cs="Arial"/>
          <w:iCs/>
          <w:szCs w:val="22"/>
          <w:lang w:eastAsia="en-US"/>
        </w:rPr>
        <w:t>T</w:t>
      </w:r>
      <w:r w:rsidR="00DD13A3" w:rsidRPr="00DD13A3">
        <w:rPr>
          <w:rFonts w:eastAsia="Calibri" w:cs="Arial"/>
          <w:iCs/>
          <w:szCs w:val="22"/>
          <w:lang w:eastAsia="en-US"/>
        </w:rPr>
        <w:t>he submission did not present any evidence to inform a comparison of dia</w:t>
      </w:r>
      <w:r>
        <w:rPr>
          <w:rFonts w:eastAsia="Calibri" w:cs="Arial"/>
          <w:iCs/>
          <w:szCs w:val="22"/>
          <w:lang w:eastAsia="en-US"/>
        </w:rPr>
        <w:t xml:space="preserve">gnostic accuracy in </w:t>
      </w:r>
      <w:proofErr w:type="spellStart"/>
      <w:r>
        <w:rPr>
          <w:rFonts w:eastAsia="Calibri" w:cs="Arial"/>
          <w:iCs/>
          <w:szCs w:val="22"/>
          <w:lang w:eastAsia="en-US"/>
        </w:rPr>
        <w:t>mCRPC</w:t>
      </w:r>
      <w:proofErr w:type="spellEnd"/>
      <w:r>
        <w:rPr>
          <w:rFonts w:eastAsia="Calibri" w:cs="Arial"/>
          <w:iCs/>
          <w:szCs w:val="22"/>
          <w:lang w:eastAsia="en-US"/>
        </w:rPr>
        <w:t>, and n</w:t>
      </w:r>
      <w:r w:rsidR="00DD13A3" w:rsidRPr="00DD13A3">
        <w:rPr>
          <w:rFonts w:eastAsia="Calibri" w:cs="Arial"/>
          <w:iCs/>
          <w:szCs w:val="22"/>
          <w:lang w:eastAsia="en-US"/>
        </w:rPr>
        <w:t>o search to identify diagnostic</w:t>
      </w:r>
      <w:r>
        <w:rPr>
          <w:rFonts w:eastAsia="Calibri" w:cs="Arial"/>
          <w:iCs/>
          <w:szCs w:val="22"/>
          <w:lang w:eastAsia="en-US"/>
        </w:rPr>
        <w:t xml:space="preserve"> accuracy studies was conducted.</w:t>
      </w:r>
    </w:p>
    <w:p w14:paraId="7C42A420" w14:textId="4B00C049" w:rsidR="00DD13A3" w:rsidRPr="00DD13A3" w:rsidRDefault="008423D9" w:rsidP="00DD13A3">
      <w:pPr>
        <w:numPr>
          <w:ilvl w:val="1"/>
          <w:numId w:val="29"/>
        </w:numPr>
        <w:spacing w:before="120" w:after="120"/>
        <w:ind w:left="1134" w:hanging="425"/>
        <w:contextualSpacing/>
        <w:jc w:val="both"/>
        <w:rPr>
          <w:rFonts w:eastAsia="Calibri" w:cs="Arial"/>
          <w:iCs/>
          <w:szCs w:val="22"/>
          <w:lang w:eastAsia="en-US"/>
        </w:rPr>
      </w:pPr>
      <w:r>
        <w:rPr>
          <w:rFonts w:eastAsia="Calibri" w:cs="Arial"/>
          <w:iCs/>
          <w:szCs w:val="22"/>
          <w:lang w:eastAsia="en-US"/>
        </w:rPr>
        <w:t>T</w:t>
      </w:r>
      <w:r w:rsidR="00DD13A3" w:rsidRPr="00DD13A3">
        <w:rPr>
          <w:rFonts w:eastAsia="Calibri" w:cs="Arial"/>
          <w:iCs/>
          <w:szCs w:val="22"/>
          <w:lang w:eastAsia="en-US"/>
        </w:rPr>
        <w:t xml:space="preserve">he submission did not present any evidence supporting the clinical utility of testing </w:t>
      </w:r>
      <w:proofErr w:type="spellStart"/>
      <w:r w:rsidR="00DD13A3" w:rsidRPr="00DD13A3">
        <w:rPr>
          <w:rFonts w:eastAsia="Calibri" w:cs="Arial"/>
          <w:iCs/>
          <w:szCs w:val="22"/>
          <w:lang w:eastAsia="en-US"/>
        </w:rPr>
        <w:t>mCRPC</w:t>
      </w:r>
      <w:proofErr w:type="spellEnd"/>
      <w:r w:rsidR="00DD13A3" w:rsidRPr="00DD13A3">
        <w:rPr>
          <w:rFonts w:eastAsia="Calibri" w:cs="Arial"/>
          <w:iCs/>
          <w:szCs w:val="22"/>
          <w:lang w:eastAsia="en-US"/>
        </w:rPr>
        <w:t xml:space="preserve"> patients for </w:t>
      </w:r>
      <w:r w:rsidR="00DD13A3" w:rsidRPr="00DD13A3">
        <w:rPr>
          <w:rFonts w:eastAsia="Calibri" w:cs="Arial"/>
          <w:i/>
          <w:iCs/>
          <w:szCs w:val="22"/>
          <w:lang w:eastAsia="en-US"/>
        </w:rPr>
        <w:t>BRCA1/2</w:t>
      </w:r>
      <w:r w:rsidR="00DD13A3" w:rsidRPr="00DD13A3">
        <w:rPr>
          <w:rFonts w:eastAsia="Calibri" w:cs="Arial"/>
          <w:iCs/>
          <w:szCs w:val="22"/>
          <w:lang w:eastAsia="en-US"/>
        </w:rPr>
        <w:t xml:space="preserve"> germline and somatic pathogenic </w:t>
      </w:r>
      <w:r w:rsidR="00E370C0">
        <w:rPr>
          <w:rFonts w:eastAsia="Calibri" w:cs="Arial"/>
          <w:iCs/>
          <w:szCs w:val="22"/>
          <w:lang w:eastAsia="en-US"/>
        </w:rPr>
        <w:t xml:space="preserve">gene </w:t>
      </w:r>
      <w:r w:rsidR="00DD13A3" w:rsidRPr="00DD13A3">
        <w:rPr>
          <w:rFonts w:eastAsia="Calibri" w:cs="Arial"/>
          <w:iCs/>
          <w:szCs w:val="22"/>
          <w:lang w:eastAsia="en-US"/>
        </w:rPr>
        <w:t xml:space="preserve">variants. This </w:t>
      </w:r>
      <w:r>
        <w:rPr>
          <w:rFonts w:eastAsia="Calibri" w:cs="Arial"/>
          <w:iCs/>
          <w:szCs w:val="22"/>
          <w:lang w:eastAsia="en-US"/>
        </w:rPr>
        <w:t>wa</w:t>
      </w:r>
      <w:r w:rsidR="00DD13A3" w:rsidRPr="00DD13A3">
        <w:rPr>
          <w:rFonts w:eastAsia="Calibri" w:cs="Arial"/>
          <w:iCs/>
          <w:szCs w:val="22"/>
          <w:lang w:eastAsia="en-US"/>
        </w:rPr>
        <w:t xml:space="preserve">s despite information being available from the </w:t>
      </w:r>
      <w:proofErr w:type="spellStart"/>
      <w:r w:rsidR="00DD13A3" w:rsidRPr="00DD13A3">
        <w:rPr>
          <w:rFonts w:eastAsia="Calibri" w:cs="Arial"/>
          <w:iCs/>
          <w:szCs w:val="22"/>
          <w:lang w:eastAsia="en-US"/>
        </w:rPr>
        <w:t>PROfound</w:t>
      </w:r>
      <w:proofErr w:type="spellEnd"/>
      <w:r w:rsidR="00DD13A3" w:rsidRPr="00DD13A3">
        <w:rPr>
          <w:rFonts w:eastAsia="Calibri" w:cs="Arial"/>
          <w:iCs/>
          <w:szCs w:val="22"/>
          <w:lang w:eastAsia="en-US"/>
        </w:rPr>
        <w:t xml:space="preserve"> trial </w:t>
      </w:r>
      <w:r w:rsidR="00DD13A3" w:rsidRPr="00DD13A3">
        <w:rPr>
          <w:rFonts w:eastAsia="Calibri" w:cs="Arial"/>
          <w:iCs/>
          <w:szCs w:val="22"/>
          <w:lang w:eastAsia="en-US"/>
        </w:rPr>
        <w:lastRenderedPageBreak/>
        <w:t xml:space="preserve">suggesting benefit of olaparib for patients with </w:t>
      </w:r>
      <w:r w:rsidR="00DD13A3" w:rsidRPr="00DD13A3">
        <w:rPr>
          <w:rFonts w:eastAsia="Calibri" w:cs="Arial"/>
          <w:i/>
          <w:iCs/>
          <w:szCs w:val="22"/>
          <w:lang w:eastAsia="en-US"/>
        </w:rPr>
        <w:t>BRCA1/2</w:t>
      </w:r>
      <w:r w:rsidR="00DD13A3" w:rsidRPr="00DD13A3">
        <w:rPr>
          <w:rFonts w:eastAsia="Calibri" w:cs="Arial"/>
          <w:iCs/>
          <w:szCs w:val="22"/>
          <w:lang w:eastAsia="en-US"/>
        </w:rPr>
        <w:t xml:space="preserve"> pathogenic</w:t>
      </w:r>
      <w:r w:rsidR="00E370C0">
        <w:rPr>
          <w:rFonts w:eastAsia="Calibri" w:cs="Arial"/>
          <w:iCs/>
          <w:szCs w:val="22"/>
          <w:lang w:eastAsia="en-US"/>
        </w:rPr>
        <w:t xml:space="preserve"> gene</w:t>
      </w:r>
      <w:r w:rsidR="00DD13A3" w:rsidRPr="00DD13A3">
        <w:rPr>
          <w:rFonts w:eastAsia="Calibri" w:cs="Arial"/>
          <w:iCs/>
          <w:szCs w:val="22"/>
          <w:lang w:eastAsia="en-US"/>
        </w:rPr>
        <w:t xml:space="preserve"> variants but not in those without </w:t>
      </w:r>
      <w:r w:rsidR="00DD13A3" w:rsidRPr="00DD13A3">
        <w:rPr>
          <w:rFonts w:eastAsia="Calibri" w:cs="Arial"/>
          <w:i/>
          <w:iCs/>
          <w:szCs w:val="22"/>
          <w:lang w:eastAsia="en-US"/>
        </w:rPr>
        <w:t>BRCA1/2</w:t>
      </w:r>
      <w:r w:rsidR="00DD13A3" w:rsidRPr="00DD13A3">
        <w:rPr>
          <w:rFonts w:eastAsia="Calibri" w:cs="Arial"/>
          <w:iCs/>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00DD13A3" w:rsidRPr="00DD13A3">
        <w:rPr>
          <w:rFonts w:eastAsia="Calibri" w:cs="Arial"/>
          <w:iCs/>
          <w:szCs w:val="22"/>
          <w:lang w:eastAsia="en-US"/>
        </w:rPr>
        <w:t xml:space="preserve">variants. This information was sourced during the evaluation and is presented in Table </w:t>
      </w:r>
      <w:r w:rsidR="001C1D73">
        <w:rPr>
          <w:rFonts w:eastAsia="Calibri" w:cs="Arial"/>
          <w:iCs/>
          <w:szCs w:val="22"/>
          <w:lang w:eastAsia="en-US"/>
        </w:rPr>
        <w:t>6</w:t>
      </w:r>
      <w:r w:rsidR="00DD13A3" w:rsidRPr="00DD13A3">
        <w:rPr>
          <w:rFonts w:eastAsia="Calibri" w:cs="Arial"/>
          <w:iCs/>
          <w:szCs w:val="22"/>
          <w:lang w:eastAsia="en-US"/>
        </w:rPr>
        <w:t xml:space="preserve">, but no comparative statistics were reported comparing outcomes between the subgroups and/or the ITT population. However, all patients in the </w:t>
      </w:r>
      <w:proofErr w:type="spellStart"/>
      <w:r w:rsidR="00DD13A3" w:rsidRPr="00DD13A3">
        <w:rPr>
          <w:rFonts w:eastAsia="Calibri" w:cs="Arial"/>
          <w:iCs/>
          <w:szCs w:val="22"/>
          <w:lang w:eastAsia="en-US"/>
        </w:rPr>
        <w:t>PROfound</w:t>
      </w:r>
      <w:proofErr w:type="spellEnd"/>
      <w:r w:rsidR="00DD13A3" w:rsidRPr="00DD13A3">
        <w:rPr>
          <w:rFonts w:eastAsia="Calibri" w:cs="Arial"/>
          <w:iCs/>
          <w:szCs w:val="22"/>
          <w:lang w:eastAsia="en-US"/>
        </w:rPr>
        <w:t xml:space="preserve"> trial had HRR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00DD13A3" w:rsidRPr="00DD13A3">
        <w:rPr>
          <w:rFonts w:eastAsia="Calibri" w:cs="Arial"/>
          <w:iCs/>
          <w:szCs w:val="22"/>
          <w:lang w:eastAsia="en-US"/>
        </w:rPr>
        <w:t xml:space="preserve">variants, and so the subgroup of patients without </w:t>
      </w:r>
      <w:r w:rsidR="00DD13A3" w:rsidRPr="00DD13A3">
        <w:rPr>
          <w:rFonts w:eastAsia="Calibri" w:cs="Arial"/>
          <w:i/>
          <w:iCs/>
          <w:szCs w:val="22"/>
          <w:lang w:eastAsia="en-US"/>
        </w:rPr>
        <w:t>BRCA1/2</w:t>
      </w:r>
      <w:r w:rsidR="00DD13A3" w:rsidRPr="00DD13A3">
        <w:rPr>
          <w:rFonts w:eastAsia="Calibri" w:cs="Arial"/>
          <w:iCs/>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00DD13A3" w:rsidRPr="00DD13A3">
        <w:rPr>
          <w:rFonts w:eastAsia="Calibri" w:cs="Arial"/>
          <w:iCs/>
          <w:szCs w:val="22"/>
          <w:lang w:eastAsia="en-US"/>
        </w:rPr>
        <w:t xml:space="preserve">variants presented may not be fully representative of the wider population of </w:t>
      </w:r>
      <w:proofErr w:type="spellStart"/>
      <w:r w:rsidR="00DD13A3" w:rsidRPr="00DD13A3">
        <w:rPr>
          <w:rFonts w:eastAsia="Calibri" w:cs="Arial"/>
          <w:iCs/>
          <w:szCs w:val="22"/>
          <w:lang w:eastAsia="en-US"/>
        </w:rPr>
        <w:t>mCRPC</w:t>
      </w:r>
      <w:proofErr w:type="spellEnd"/>
      <w:r w:rsidR="00DD13A3" w:rsidRPr="00DD13A3">
        <w:rPr>
          <w:rFonts w:eastAsia="Calibri" w:cs="Arial"/>
          <w:iCs/>
          <w:szCs w:val="22"/>
          <w:lang w:eastAsia="en-US"/>
        </w:rPr>
        <w:t xml:space="preserve"> patients without </w:t>
      </w:r>
      <w:r w:rsidR="00DD13A3" w:rsidRPr="00DD13A3">
        <w:rPr>
          <w:rFonts w:eastAsia="Calibri" w:cs="Arial"/>
          <w:i/>
          <w:iCs/>
          <w:szCs w:val="22"/>
          <w:lang w:eastAsia="en-US"/>
        </w:rPr>
        <w:t>BRCA1/2</w:t>
      </w:r>
      <w:r w:rsidR="00DD13A3" w:rsidRPr="00DD13A3">
        <w:rPr>
          <w:rFonts w:eastAsia="Calibri" w:cs="Arial"/>
          <w:iCs/>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00DD13A3" w:rsidRPr="00DD13A3">
        <w:rPr>
          <w:rFonts w:eastAsia="Calibri" w:cs="Arial"/>
          <w:iCs/>
          <w:szCs w:val="22"/>
          <w:lang w:eastAsia="en-US"/>
        </w:rPr>
        <w:t>variants who may not necessarily carry HRR alterations.</w:t>
      </w:r>
    </w:p>
    <w:p w14:paraId="239F6A3F" w14:textId="3691B15F" w:rsidR="00DD13A3" w:rsidRPr="00DD13A3" w:rsidRDefault="00DD13A3" w:rsidP="00DD13A3">
      <w:pPr>
        <w:numPr>
          <w:ilvl w:val="1"/>
          <w:numId w:val="29"/>
        </w:numPr>
        <w:spacing w:before="120" w:after="120"/>
        <w:ind w:left="1134" w:hanging="425"/>
        <w:contextualSpacing/>
        <w:jc w:val="both"/>
        <w:rPr>
          <w:rFonts w:eastAsia="Calibri" w:cs="Arial"/>
          <w:iCs/>
          <w:szCs w:val="22"/>
          <w:lang w:eastAsia="en-US"/>
        </w:rPr>
      </w:pPr>
      <w:r w:rsidRPr="00DD13A3">
        <w:rPr>
          <w:rFonts w:eastAsia="Calibri" w:cs="Arial"/>
          <w:iCs/>
          <w:szCs w:val="22"/>
          <w:lang w:eastAsia="en-US"/>
        </w:rPr>
        <w:t xml:space="preserve">The submission presented insufficient evidence to support the analytical validity of the F1CDx test to detect </w:t>
      </w:r>
      <w:r w:rsidRPr="00DD13A3">
        <w:rPr>
          <w:rFonts w:eastAsia="Calibri" w:cs="Arial"/>
          <w:i/>
          <w:iCs/>
          <w:szCs w:val="22"/>
          <w:lang w:eastAsia="en-US"/>
        </w:rPr>
        <w:t>BRCA1/2</w:t>
      </w:r>
      <w:r w:rsidRPr="00DD13A3">
        <w:rPr>
          <w:rFonts w:eastAsia="Calibri" w:cs="Arial"/>
          <w:iCs/>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DD13A3">
        <w:rPr>
          <w:rFonts w:eastAsia="Calibri" w:cs="Arial"/>
          <w:iCs/>
          <w:szCs w:val="22"/>
          <w:lang w:eastAsia="en-US"/>
        </w:rPr>
        <w:t xml:space="preserve">variants in </w:t>
      </w:r>
      <w:proofErr w:type="spellStart"/>
      <w:r w:rsidRPr="00DD13A3">
        <w:rPr>
          <w:rFonts w:eastAsia="Calibri" w:cs="Arial"/>
          <w:iCs/>
          <w:szCs w:val="22"/>
          <w:lang w:eastAsia="en-US"/>
        </w:rPr>
        <w:t>mCRPC</w:t>
      </w:r>
      <w:proofErr w:type="spellEnd"/>
      <w:r w:rsidRPr="00DD13A3">
        <w:rPr>
          <w:rFonts w:eastAsia="Calibri" w:cs="Arial"/>
          <w:iCs/>
          <w:szCs w:val="22"/>
          <w:lang w:eastAsia="en-US"/>
        </w:rPr>
        <w:t xml:space="preserve">. While the submission had referred to the FDA label document to support the diagnostic performance of F1CDx NGS in DNA derived from FFPE tissue samples from a variety of tumours, there were no diagnostic performance data specific to </w:t>
      </w:r>
      <w:proofErr w:type="spellStart"/>
      <w:r w:rsidRPr="00DD13A3">
        <w:rPr>
          <w:rFonts w:eastAsia="Calibri" w:cs="Arial"/>
          <w:iCs/>
          <w:szCs w:val="22"/>
          <w:lang w:eastAsia="en-US"/>
        </w:rPr>
        <w:t>mCRPC</w:t>
      </w:r>
      <w:proofErr w:type="spellEnd"/>
      <w:r w:rsidRPr="00DD13A3">
        <w:rPr>
          <w:rFonts w:eastAsia="Calibri" w:cs="Arial"/>
          <w:iCs/>
          <w:szCs w:val="22"/>
          <w:lang w:eastAsia="en-US"/>
        </w:rPr>
        <w:t xml:space="preserve">. Also, the particular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DD13A3">
        <w:rPr>
          <w:rFonts w:eastAsia="Calibri" w:cs="Arial"/>
          <w:iCs/>
          <w:szCs w:val="22"/>
          <w:lang w:eastAsia="en-US"/>
        </w:rPr>
        <w:t>variants identified by the test were not reported. This document was also not included with the submission and was instead sourced during the evaluation.</w:t>
      </w:r>
    </w:p>
    <w:p w14:paraId="678F7897" w14:textId="04CA4F41" w:rsidR="004D1E22" w:rsidRDefault="004D1E22" w:rsidP="00DD13A3">
      <w:pPr>
        <w:numPr>
          <w:ilvl w:val="1"/>
          <w:numId w:val="29"/>
        </w:numPr>
        <w:spacing w:before="120" w:after="120"/>
        <w:ind w:left="1134" w:hanging="425"/>
        <w:contextualSpacing/>
        <w:jc w:val="both"/>
        <w:rPr>
          <w:rFonts w:eastAsia="Calibri" w:cs="Arial"/>
          <w:iCs/>
          <w:szCs w:val="22"/>
          <w:lang w:eastAsia="en-US"/>
        </w:rPr>
      </w:pPr>
      <w:r>
        <w:rPr>
          <w:rFonts w:eastAsia="Calibri" w:cs="Arial"/>
          <w:iCs/>
          <w:szCs w:val="22"/>
          <w:lang w:eastAsia="en-US"/>
        </w:rPr>
        <w:t xml:space="preserve">The submission did </w:t>
      </w:r>
      <w:r w:rsidRPr="00DD13A3">
        <w:rPr>
          <w:rFonts w:eastAsia="Calibri" w:cs="Arial"/>
          <w:iCs/>
          <w:szCs w:val="22"/>
          <w:lang w:eastAsia="en-US"/>
        </w:rPr>
        <w:t>not compare the analytical performance of alternative options available in Australia to that of the evidentiary standard test.</w:t>
      </w:r>
    </w:p>
    <w:p w14:paraId="22AC120C" w14:textId="2F73CA09" w:rsidR="004D1E22" w:rsidRPr="004D1E22" w:rsidRDefault="00DD13A3" w:rsidP="004D1E22">
      <w:pPr>
        <w:numPr>
          <w:ilvl w:val="1"/>
          <w:numId w:val="29"/>
        </w:numPr>
        <w:spacing w:before="120" w:after="120"/>
        <w:ind w:left="1134" w:hanging="425"/>
        <w:contextualSpacing/>
        <w:jc w:val="both"/>
        <w:rPr>
          <w:rFonts w:eastAsia="Calibri" w:cs="Arial"/>
          <w:iCs/>
          <w:szCs w:val="22"/>
          <w:lang w:eastAsia="en-US"/>
        </w:rPr>
      </w:pPr>
      <w:r w:rsidRPr="00DD13A3">
        <w:rPr>
          <w:rFonts w:eastAsia="Calibri" w:cs="Arial"/>
          <w:iCs/>
          <w:szCs w:val="22"/>
          <w:lang w:eastAsia="en-US"/>
        </w:rPr>
        <w:t xml:space="preserve">The submission presented an external validation and concordance report developed by the PMCC in Australia using the </w:t>
      </w:r>
      <w:proofErr w:type="spellStart"/>
      <w:r w:rsidRPr="00DD13A3">
        <w:rPr>
          <w:rFonts w:eastAsia="Calibri" w:cs="Arial"/>
          <w:iCs/>
          <w:szCs w:val="22"/>
          <w:lang w:eastAsia="en-US"/>
        </w:rPr>
        <w:t>QIASeq</w:t>
      </w:r>
      <w:proofErr w:type="spellEnd"/>
      <w:r w:rsidRPr="00DD13A3">
        <w:rPr>
          <w:rFonts w:eastAsia="Calibri" w:cs="Arial"/>
          <w:iCs/>
          <w:szCs w:val="22"/>
          <w:lang w:eastAsia="en-US"/>
        </w:rPr>
        <w:t xml:space="preserve"> NGS, but the FFPE samples in the report were from a variety of tumour samples and did not include </w:t>
      </w:r>
      <w:proofErr w:type="spellStart"/>
      <w:r w:rsidRPr="00DD13A3">
        <w:rPr>
          <w:rFonts w:eastAsia="Calibri" w:cs="Arial"/>
          <w:iCs/>
          <w:szCs w:val="22"/>
          <w:lang w:eastAsia="en-US"/>
        </w:rPr>
        <w:t>mCRPC</w:t>
      </w:r>
      <w:proofErr w:type="spellEnd"/>
      <w:r w:rsidRPr="00DD13A3">
        <w:rPr>
          <w:rFonts w:eastAsia="Calibri" w:cs="Arial"/>
          <w:iCs/>
          <w:szCs w:val="22"/>
          <w:lang w:eastAsia="en-US"/>
        </w:rPr>
        <w:t xml:space="preserve"> tumour tissue. In the clinical validation sample (Table 9, p8-9 of the validation report), </w:t>
      </w:r>
      <w:r w:rsidRPr="00DD13A3">
        <w:rPr>
          <w:rFonts w:eastAsia="Calibri" w:cs="Arial"/>
          <w:i/>
          <w:iCs/>
          <w:szCs w:val="22"/>
          <w:lang w:eastAsia="en-US"/>
        </w:rPr>
        <w:t>BRCA1/2</w:t>
      </w:r>
      <w:r w:rsidRPr="00DD13A3">
        <w:rPr>
          <w:rFonts w:eastAsia="Calibri" w:cs="Arial"/>
          <w:iCs/>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DD13A3">
        <w:rPr>
          <w:rFonts w:eastAsia="Calibri" w:cs="Arial"/>
          <w:iCs/>
          <w:szCs w:val="22"/>
          <w:lang w:eastAsia="en-US"/>
        </w:rPr>
        <w:t xml:space="preserve">variants were only identified in breast and ovarian cancer tissue, while </w:t>
      </w:r>
      <w:r w:rsidRPr="00DD13A3">
        <w:rPr>
          <w:rFonts w:eastAsia="Calibri" w:cs="Arial"/>
          <w:i/>
          <w:iCs/>
          <w:szCs w:val="22"/>
          <w:lang w:eastAsia="en-US"/>
        </w:rPr>
        <w:t xml:space="preserve">ATM </w:t>
      </w:r>
      <w:r w:rsidRPr="00DD13A3">
        <w:rPr>
          <w:rFonts w:eastAsia="Calibri" w:cs="Arial"/>
          <w:iCs/>
          <w:szCs w:val="22"/>
          <w:lang w:eastAsia="en-US"/>
        </w:rPr>
        <w:t xml:space="preserve">and </w:t>
      </w:r>
      <w:r w:rsidRPr="00DD13A3">
        <w:rPr>
          <w:rFonts w:eastAsia="Calibri" w:cs="Arial"/>
          <w:i/>
          <w:iCs/>
          <w:szCs w:val="22"/>
          <w:lang w:eastAsia="en-US"/>
        </w:rPr>
        <w:t>CHEK</w:t>
      </w:r>
      <w:r w:rsidRPr="00DD13A3">
        <w:rPr>
          <w:rFonts w:eastAsia="Calibri" w:cs="Arial"/>
          <w:iCs/>
          <w:szCs w:val="22"/>
          <w:lang w:eastAsia="en-US"/>
        </w:rPr>
        <w:t xml:space="preserve"> were detected in prostate tissue. Therefore, the performance of the test to identify </w:t>
      </w:r>
      <w:r w:rsidRPr="00DD13A3">
        <w:rPr>
          <w:rFonts w:eastAsia="Calibri" w:cs="Arial"/>
          <w:i/>
          <w:iCs/>
          <w:szCs w:val="22"/>
          <w:lang w:eastAsia="en-US"/>
        </w:rPr>
        <w:t>BRCA1/2</w:t>
      </w:r>
      <w:r w:rsidRPr="00DD13A3">
        <w:rPr>
          <w:rFonts w:eastAsia="Calibri" w:cs="Arial"/>
          <w:iCs/>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DD13A3">
        <w:rPr>
          <w:rFonts w:eastAsia="Calibri" w:cs="Arial"/>
          <w:iCs/>
          <w:szCs w:val="22"/>
          <w:lang w:eastAsia="en-US"/>
        </w:rPr>
        <w:t>variants in the population of interest remains uncertain. No further details, including TGA documentation were provided.</w:t>
      </w:r>
    </w:p>
    <w:p w14:paraId="4A2C7A01" w14:textId="64E45354" w:rsidR="004D1E22" w:rsidRPr="00DD13A3" w:rsidRDefault="004D1E22" w:rsidP="00DD13A3">
      <w:pPr>
        <w:numPr>
          <w:ilvl w:val="1"/>
          <w:numId w:val="29"/>
        </w:numPr>
        <w:spacing w:before="120" w:after="120"/>
        <w:ind w:left="1134" w:hanging="425"/>
        <w:contextualSpacing/>
        <w:jc w:val="both"/>
        <w:rPr>
          <w:rFonts w:eastAsia="Calibri" w:cs="Arial"/>
          <w:iCs/>
          <w:szCs w:val="22"/>
          <w:lang w:eastAsia="en-US"/>
        </w:rPr>
      </w:pPr>
      <w:r>
        <w:rPr>
          <w:rFonts w:eastAsia="Calibri" w:cs="Arial"/>
          <w:iCs/>
          <w:szCs w:val="22"/>
          <w:lang w:eastAsia="en-US"/>
        </w:rPr>
        <w:t xml:space="preserve">The submission </w:t>
      </w:r>
      <w:r w:rsidRPr="00DD13A3">
        <w:rPr>
          <w:rFonts w:eastAsia="Calibri" w:cs="Arial"/>
          <w:iCs/>
          <w:szCs w:val="22"/>
          <w:lang w:eastAsia="en-US"/>
        </w:rPr>
        <w:t xml:space="preserve">did not compare the performance of the </w:t>
      </w:r>
      <w:proofErr w:type="spellStart"/>
      <w:r w:rsidRPr="00DD13A3">
        <w:rPr>
          <w:rFonts w:eastAsia="Calibri" w:cs="Arial"/>
          <w:iCs/>
          <w:szCs w:val="22"/>
          <w:lang w:eastAsia="en-US"/>
        </w:rPr>
        <w:t>FoundationOne</w:t>
      </w:r>
      <w:r w:rsidRPr="00DD13A3">
        <w:rPr>
          <w:rFonts w:eastAsia="Calibri" w:cs="Arial"/>
          <w:iCs/>
          <w:szCs w:val="22"/>
          <w:vertAlign w:val="superscript"/>
          <w:lang w:eastAsia="en-US"/>
        </w:rPr>
        <w:t>®</w:t>
      </w:r>
      <w:r w:rsidRPr="00DD13A3">
        <w:rPr>
          <w:rFonts w:eastAsia="Calibri" w:cs="Arial"/>
          <w:iCs/>
          <w:szCs w:val="22"/>
          <w:lang w:eastAsia="en-US"/>
        </w:rPr>
        <w:t>CDx</w:t>
      </w:r>
      <w:proofErr w:type="spellEnd"/>
      <w:r w:rsidRPr="00DD13A3">
        <w:rPr>
          <w:rFonts w:eastAsia="Calibri" w:cs="Arial"/>
          <w:iCs/>
          <w:szCs w:val="22"/>
          <w:lang w:eastAsia="en-US"/>
        </w:rPr>
        <w:t xml:space="preserve"> (F1CDx) test in archival FFPE samples to fresh </w:t>
      </w:r>
      <w:proofErr w:type="spellStart"/>
      <w:r w:rsidRPr="00DD13A3">
        <w:rPr>
          <w:rFonts w:eastAsia="Calibri" w:cs="Arial"/>
          <w:iCs/>
          <w:szCs w:val="22"/>
          <w:lang w:eastAsia="en-US"/>
        </w:rPr>
        <w:t>mCRPC</w:t>
      </w:r>
      <w:proofErr w:type="spellEnd"/>
      <w:r w:rsidRPr="00DD13A3">
        <w:rPr>
          <w:rFonts w:eastAsia="Calibri" w:cs="Arial"/>
          <w:iCs/>
          <w:szCs w:val="22"/>
          <w:lang w:eastAsia="en-US"/>
        </w:rPr>
        <w:t xml:space="preserve"> tissue samples</w:t>
      </w:r>
      <w:r>
        <w:rPr>
          <w:rFonts w:eastAsia="Calibri" w:cs="Arial"/>
          <w:iCs/>
          <w:szCs w:val="22"/>
          <w:lang w:eastAsia="en-US"/>
        </w:rPr>
        <w:t>.</w:t>
      </w:r>
    </w:p>
    <w:p w14:paraId="7B238CDE" w14:textId="77777777" w:rsidR="00DD13A3" w:rsidRPr="00DD13A3" w:rsidRDefault="00DD13A3" w:rsidP="00DD13A3">
      <w:pPr>
        <w:numPr>
          <w:ilvl w:val="0"/>
          <w:numId w:val="29"/>
        </w:numPr>
        <w:spacing w:before="120" w:after="120"/>
        <w:contextualSpacing/>
        <w:jc w:val="both"/>
        <w:rPr>
          <w:rFonts w:eastAsia="Calibri" w:cs="Arial"/>
          <w:szCs w:val="22"/>
          <w:lang w:eastAsia="en-US"/>
        </w:rPr>
      </w:pPr>
      <w:r w:rsidRPr="00DD13A3">
        <w:rPr>
          <w:rFonts w:eastAsia="Calibri" w:cs="Arial"/>
          <w:iCs/>
          <w:szCs w:val="22"/>
          <w:lang w:eastAsia="en-US"/>
        </w:rPr>
        <w:t xml:space="preserve">The </w:t>
      </w:r>
      <w:r w:rsidRPr="00DD13A3">
        <w:rPr>
          <w:rFonts w:eastAsia="Calibri"/>
          <w:szCs w:val="24"/>
          <w:lang w:eastAsia="en-GB"/>
        </w:rPr>
        <w:t>flow-on consequences of germline/cascade testing were also inappropriately not included in the submission.</w:t>
      </w:r>
    </w:p>
    <w:p w14:paraId="1DE01AB6" w14:textId="77777777" w:rsidR="00DD13A3" w:rsidRPr="00DD13A3" w:rsidRDefault="00DD13A3" w:rsidP="00DD13A3">
      <w:pPr>
        <w:keepNext/>
        <w:keepLines/>
        <w:spacing w:before="360" w:after="120"/>
        <w:outlineLvl w:val="1"/>
        <w:rPr>
          <w:bCs/>
          <w:i/>
          <w:szCs w:val="26"/>
        </w:rPr>
      </w:pPr>
      <w:r w:rsidRPr="00DD13A3">
        <w:rPr>
          <w:bCs/>
          <w:i/>
          <w:szCs w:val="26"/>
        </w:rPr>
        <w:t>Adverse events from testing</w:t>
      </w:r>
    </w:p>
    <w:p w14:paraId="396D678C" w14:textId="1EED0B34" w:rsidR="00DD13A3" w:rsidRPr="00DD13A3" w:rsidRDefault="00DD13A3" w:rsidP="00DD13A3">
      <w:pPr>
        <w:rPr>
          <w:rFonts w:eastAsia="Calibri" w:cs="Arial"/>
          <w:iCs/>
          <w:szCs w:val="22"/>
          <w:lang w:eastAsia="en-US"/>
        </w:rPr>
      </w:pPr>
      <w:r w:rsidRPr="00DD13A3">
        <w:rPr>
          <w:rFonts w:eastAsia="Calibri" w:cs="Arial"/>
          <w:szCs w:val="22"/>
          <w:lang w:eastAsia="en-US"/>
        </w:rPr>
        <w:t xml:space="preserve">The submission did not discuss the safety of testing for </w:t>
      </w:r>
      <w:r w:rsidRPr="00DD13A3">
        <w:rPr>
          <w:rFonts w:eastAsia="Calibri" w:cs="Arial"/>
          <w:i/>
          <w:iCs/>
          <w:szCs w:val="22"/>
          <w:lang w:eastAsia="en-US"/>
        </w:rPr>
        <w:t>BRCA1/2</w:t>
      </w:r>
      <w:r w:rsidRPr="00DD13A3">
        <w:rPr>
          <w:rFonts w:eastAsia="Calibri" w:cs="Arial"/>
          <w:szCs w:val="22"/>
          <w:lang w:eastAsia="en-US"/>
        </w:rPr>
        <w:t xml:space="preserve"> </w:t>
      </w:r>
      <w:r w:rsidRPr="00DD13A3">
        <w:t>pathogenic</w:t>
      </w:r>
      <w:r w:rsidRPr="00DD13A3">
        <w:rPr>
          <w:rFonts w:eastAsia="Calibri" w:cs="Arial"/>
          <w:szCs w:val="22"/>
          <w:lang w:eastAsia="en-US"/>
        </w:rPr>
        <w:t xml:space="preserve"> </w:t>
      </w:r>
      <w:r w:rsidR="00E370C0">
        <w:rPr>
          <w:rFonts w:eastAsia="Calibri" w:cs="Arial"/>
          <w:iCs/>
          <w:szCs w:val="22"/>
          <w:lang w:eastAsia="en-US"/>
        </w:rPr>
        <w:t>gene</w:t>
      </w:r>
      <w:r w:rsidR="00E370C0" w:rsidRPr="00DD13A3">
        <w:rPr>
          <w:rFonts w:eastAsia="Calibri" w:cs="Arial"/>
          <w:iCs/>
          <w:szCs w:val="22"/>
          <w:lang w:eastAsia="en-US"/>
        </w:rPr>
        <w:t xml:space="preserve"> </w:t>
      </w:r>
      <w:r w:rsidRPr="00DD13A3">
        <w:rPr>
          <w:rFonts w:eastAsia="Calibri" w:cs="Arial"/>
          <w:szCs w:val="22"/>
          <w:lang w:eastAsia="en-US"/>
        </w:rPr>
        <w:t xml:space="preserve">variants. The Commentary considered that </w:t>
      </w:r>
      <w:r w:rsidRPr="00DD13A3">
        <w:rPr>
          <w:rFonts w:eastAsia="Calibri" w:cs="Arial"/>
          <w:iCs/>
          <w:szCs w:val="22"/>
          <w:lang w:eastAsia="en-US"/>
        </w:rPr>
        <w:t xml:space="preserve">this was not appropriate. The submission did not discuss potential psychological harms associated with </w:t>
      </w:r>
      <w:r w:rsidRPr="00DD13A3">
        <w:rPr>
          <w:rFonts w:eastAsia="Calibri" w:cs="Arial"/>
          <w:i/>
          <w:iCs/>
          <w:szCs w:val="22"/>
          <w:lang w:eastAsia="en-US"/>
        </w:rPr>
        <w:t>BRCA1/2</w:t>
      </w:r>
      <w:r w:rsidRPr="00DD13A3">
        <w:rPr>
          <w:rFonts w:eastAsia="Calibri" w:cs="Arial"/>
          <w:iCs/>
          <w:szCs w:val="22"/>
          <w:lang w:eastAsia="en-US"/>
        </w:rPr>
        <w:t xml:space="preserve"> testing or the need for re-biopsy. Given that some patients would only have somatic </w:t>
      </w:r>
      <w:r w:rsidR="00857836">
        <w:rPr>
          <w:rFonts w:eastAsia="Calibri" w:cs="Arial"/>
          <w:iCs/>
          <w:szCs w:val="22"/>
          <w:lang w:eastAsia="en-US"/>
        </w:rPr>
        <w:t>variants</w:t>
      </w:r>
      <w:r w:rsidRPr="00DD13A3">
        <w:rPr>
          <w:rFonts w:eastAsia="Calibri" w:cs="Arial"/>
          <w:iCs/>
          <w:szCs w:val="22"/>
          <w:lang w:eastAsia="en-US"/>
        </w:rPr>
        <w:t xml:space="preserve"> (see above), the need for re-biopsy may need to be considered.</w:t>
      </w:r>
    </w:p>
    <w:p w14:paraId="30BAE91F" w14:textId="09B2E19D" w:rsidR="00DD13A3" w:rsidRPr="00DD13A3" w:rsidRDefault="00DD13A3" w:rsidP="007C2DC0">
      <w:pPr>
        <w:spacing w:before="240"/>
        <w:rPr>
          <w:rFonts w:eastAsia="Calibri" w:cs="Arial"/>
          <w:iCs/>
          <w:szCs w:val="22"/>
          <w:lang w:eastAsia="en-US"/>
        </w:rPr>
      </w:pPr>
      <w:r w:rsidRPr="00DD13A3">
        <w:rPr>
          <w:rFonts w:eastAsia="Calibri" w:cs="Arial"/>
          <w:iCs/>
          <w:szCs w:val="22"/>
          <w:lang w:eastAsia="en-US"/>
        </w:rPr>
        <w:t xml:space="preserve">The Commentary noted that the FDA label for the test used in the </w:t>
      </w:r>
      <w:proofErr w:type="spellStart"/>
      <w:r w:rsidRPr="00DD13A3">
        <w:rPr>
          <w:rFonts w:eastAsia="Calibri" w:cs="Arial"/>
          <w:iCs/>
          <w:szCs w:val="22"/>
          <w:lang w:eastAsia="en-US"/>
        </w:rPr>
        <w:t>PROfound</w:t>
      </w:r>
      <w:proofErr w:type="spellEnd"/>
      <w:r w:rsidRPr="00DD13A3">
        <w:rPr>
          <w:rFonts w:eastAsia="Calibri" w:cs="Arial"/>
          <w:iCs/>
          <w:szCs w:val="22"/>
          <w:lang w:eastAsia="en-US"/>
        </w:rPr>
        <w:t xml:space="preserve"> trial, </w:t>
      </w:r>
      <w:proofErr w:type="spellStart"/>
      <w:r w:rsidRPr="00DD13A3">
        <w:rPr>
          <w:rFonts w:eastAsia="Calibri" w:cs="Arial"/>
          <w:iCs/>
          <w:szCs w:val="22"/>
          <w:lang w:eastAsia="en-US"/>
        </w:rPr>
        <w:t>FoundationOne</w:t>
      </w:r>
      <w:r w:rsidRPr="00DD13A3">
        <w:rPr>
          <w:rFonts w:eastAsia="Calibri" w:cs="Arial"/>
          <w:iCs/>
          <w:szCs w:val="22"/>
          <w:vertAlign w:val="superscript"/>
          <w:lang w:eastAsia="en-US"/>
        </w:rPr>
        <w:t>®</w:t>
      </w:r>
      <w:r w:rsidRPr="00DD13A3">
        <w:rPr>
          <w:rFonts w:eastAsia="Calibri" w:cs="Arial"/>
          <w:iCs/>
          <w:szCs w:val="22"/>
          <w:lang w:eastAsia="en-US"/>
        </w:rPr>
        <w:t>CDx</w:t>
      </w:r>
      <w:proofErr w:type="spellEnd"/>
      <w:r w:rsidRPr="00DD13A3">
        <w:rPr>
          <w:rFonts w:eastAsia="Calibri" w:cs="Arial"/>
          <w:iCs/>
          <w:szCs w:val="22"/>
          <w:lang w:eastAsia="en-US"/>
        </w:rPr>
        <w:t xml:space="preserve"> (F1CDx), indicates that failure to extract DNA from FFPE prostate tissue has occurred in 20% of samples. The Commentary </w:t>
      </w:r>
      <w:r w:rsidR="004D1E22" w:rsidRPr="00DD13A3">
        <w:rPr>
          <w:rFonts w:eastAsia="Calibri" w:cs="Arial"/>
          <w:iCs/>
          <w:szCs w:val="22"/>
          <w:lang w:eastAsia="en-US"/>
        </w:rPr>
        <w:t xml:space="preserve">therefore </w:t>
      </w:r>
      <w:r w:rsidRPr="00DD13A3">
        <w:rPr>
          <w:rFonts w:eastAsia="Calibri" w:cs="Arial"/>
          <w:iCs/>
          <w:szCs w:val="22"/>
          <w:lang w:eastAsia="en-US"/>
        </w:rPr>
        <w:t>concluded that additional biopsies would be needed from patients with inadequate tumour samples suitable for DNA extraction, with associated harms. Generally, while a biopsy is a safe procedure, there is a risk of complications. The most common complications arising from biopsies include bleeding, infection and accidental injury to adjacent structures.</w:t>
      </w:r>
    </w:p>
    <w:p w14:paraId="0D8E2A9F" w14:textId="77777777" w:rsidR="00DD13A3" w:rsidRPr="00DD13A3" w:rsidRDefault="00DD13A3" w:rsidP="00DD13A3">
      <w:pPr>
        <w:keepNext/>
        <w:keepLines/>
        <w:spacing w:before="200" w:after="120"/>
        <w:outlineLvl w:val="1"/>
        <w:rPr>
          <w:i/>
          <w:szCs w:val="26"/>
        </w:rPr>
      </w:pPr>
      <w:r w:rsidRPr="00DD13A3">
        <w:rPr>
          <w:i/>
          <w:szCs w:val="26"/>
        </w:rPr>
        <w:lastRenderedPageBreak/>
        <w:t>Adverse events from changes in clinical management</w:t>
      </w:r>
    </w:p>
    <w:p w14:paraId="566A13C6" w14:textId="3E4DD48B" w:rsidR="00DD13A3" w:rsidRPr="00DD13A3" w:rsidRDefault="00DD13A3" w:rsidP="00DD13A3">
      <w:pPr>
        <w:rPr>
          <w:rFonts w:eastAsia="Calibri" w:cs="Arial"/>
          <w:iCs/>
          <w:szCs w:val="22"/>
          <w:lang w:eastAsia="en-US"/>
        </w:rPr>
      </w:pPr>
      <w:r w:rsidRPr="00DD13A3">
        <w:rPr>
          <w:rFonts w:eastAsia="Calibri" w:cs="Arial"/>
          <w:iCs/>
          <w:szCs w:val="22"/>
          <w:lang w:eastAsia="en-US"/>
        </w:rPr>
        <w:t xml:space="preserve">The submission did not discuss the consequences of change in management as a result of </w:t>
      </w:r>
      <w:r w:rsidRPr="00DD13A3">
        <w:rPr>
          <w:rFonts w:eastAsia="Calibri" w:cs="Arial"/>
          <w:i/>
          <w:iCs/>
          <w:szCs w:val="22"/>
          <w:lang w:eastAsia="en-US"/>
        </w:rPr>
        <w:t>BRCA1/2</w:t>
      </w:r>
      <w:r w:rsidRPr="00DD13A3">
        <w:rPr>
          <w:rFonts w:eastAsia="Calibri" w:cs="Arial"/>
          <w:iCs/>
          <w:szCs w:val="22"/>
          <w:lang w:eastAsia="en-US"/>
        </w:rPr>
        <w:t xml:space="preserve"> testing beyond the requested change in clinical management by initiating olaparib in </w:t>
      </w:r>
      <w:r w:rsidRPr="00DD13A3">
        <w:rPr>
          <w:rFonts w:eastAsia="Calibri" w:cs="Arial"/>
          <w:i/>
          <w:iCs/>
          <w:szCs w:val="22"/>
          <w:lang w:eastAsia="en-US"/>
        </w:rPr>
        <w:t>BRCA1/2</w:t>
      </w:r>
      <w:r w:rsidRPr="00DD13A3">
        <w:rPr>
          <w:rFonts w:eastAsia="Calibri" w:cs="Arial"/>
          <w:iCs/>
          <w:szCs w:val="22"/>
          <w:lang w:eastAsia="en-US"/>
        </w:rPr>
        <w:t>-positive patients.</w:t>
      </w:r>
    </w:p>
    <w:p w14:paraId="3E8581C0" w14:textId="38501D59" w:rsidR="00DB5833" w:rsidRPr="00DD13A3" w:rsidRDefault="00DD13A3" w:rsidP="00DD13A3">
      <w:pPr>
        <w:rPr>
          <w:rFonts w:eastAsia="Calibri" w:cs="Arial"/>
          <w:iCs/>
          <w:szCs w:val="22"/>
          <w:lang w:eastAsia="en-US"/>
        </w:rPr>
      </w:pPr>
      <w:r w:rsidRPr="00DD13A3">
        <w:rPr>
          <w:rFonts w:eastAsia="Calibri" w:cs="Arial"/>
          <w:iCs/>
          <w:szCs w:val="22"/>
          <w:lang w:eastAsia="en-US"/>
        </w:rPr>
        <w:t xml:space="preserve">No evidence was presented to compare response to olaparib in </w:t>
      </w:r>
      <w:proofErr w:type="spellStart"/>
      <w:r w:rsidRPr="00DD13A3">
        <w:rPr>
          <w:rFonts w:eastAsia="Calibri" w:cs="Arial"/>
          <w:iCs/>
          <w:szCs w:val="22"/>
          <w:lang w:eastAsia="en-US"/>
        </w:rPr>
        <w:t>mCRPC</w:t>
      </w:r>
      <w:proofErr w:type="spellEnd"/>
      <w:r w:rsidRPr="00DD13A3">
        <w:rPr>
          <w:rFonts w:eastAsia="Calibri" w:cs="Arial"/>
          <w:iCs/>
          <w:szCs w:val="22"/>
          <w:lang w:eastAsia="en-US"/>
        </w:rPr>
        <w:t xml:space="preserve"> patients with and without </w:t>
      </w:r>
      <w:r w:rsidRPr="00DD13A3">
        <w:rPr>
          <w:rFonts w:eastAsia="Calibri" w:cs="Arial"/>
          <w:i/>
          <w:iCs/>
          <w:szCs w:val="22"/>
          <w:lang w:eastAsia="en-US"/>
        </w:rPr>
        <w:t>BRCA1/2</w:t>
      </w:r>
      <w:r w:rsidRPr="00DD13A3">
        <w:rPr>
          <w:rFonts w:eastAsia="Calibri" w:cs="Arial"/>
          <w:iCs/>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DD13A3">
        <w:rPr>
          <w:rFonts w:eastAsia="Calibri" w:cs="Arial"/>
          <w:iCs/>
          <w:szCs w:val="22"/>
          <w:lang w:eastAsia="en-US"/>
        </w:rPr>
        <w:t xml:space="preserve">variants. The submission did not present any data regarding the proportions of false positive and false negative </w:t>
      </w:r>
      <w:proofErr w:type="spellStart"/>
      <w:r w:rsidRPr="00DD13A3">
        <w:rPr>
          <w:rFonts w:eastAsia="Calibri" w:cs="Arial"/>
          <w:iCs/>
          <w:szCs w:val="22"/>
          <w:lang w:eastAsia="en-US"/>
        </w:rPr>
        <w:t>mCRPC</w:t>
      </w:r>
      <w:proofErr w:type="spellEnd"/>
      <w:r w:rsidRPr="00DD13A3">
        <w:rPr>
          <w:rFonts w:eastAsia="Calibri" w:cs="Arial"/>
          <w:iCs/>
          <w:szCs w:val="22"/>
          <w:lang w:eastAsia="en-US"/>
        </w:rPr>
        <w:t xml:space="preserve"> patients. The Commentary considered </w:t>
      </w:r>
      <w:r w:rsidR="004D1E22">
        <w:rPr>
          <w:rFonts w:eastAsia="Calibri" w:cs="Arial"/>
          <w:iCs/>
          <w:szCs w:val="22"/>
          <w:lang w:eastAsia="en-US"/>
        </w:rPr>
        <w:t xml:space="preserve">that </w:t>
      </w:r>
      <w:r w:rsidRPr="00DD13A3">
        <w:rPr>
          <w:rFonts w:eastAsia="Calibri" w:cs="Arial"/>
          <w:iCs/>
          <w:szCs w:val="22"/>
          <w:lang w:eastAsia="en-US"/>
        </w:rPr>
        <w:t xml:space="preserve">the effects on overall survival for false </w:t>
      </w:r>
      <w:r w:rsidRPr="00DD13A3">
        <w:t>positive</w:t>
      </w:r>
      <w:r w:rsidRPr="00DD13A3">
        <w:rPr>
          <w:rFonts w:eastAsia="Calibri" w:cs="Arial"/>
          <w:iCs/>
          <w:szCs w:val="22"/>
          <w:lang w:eastAsia="en-US"/>
        </w:rPr>
        <w:t xml:space="preserve"> patients (receiving olaparib) and false negative patients (not receiving olaparib) </w:t>
      </w:r>
      <w:r w:rsidR="004D1E22">
        <w:rPr>
          <w:rFonts w:eastAsia="Calibri" w:cs="Arial"/>
          <w:iCs/>
          <w:szCs w:val="22"/>
          <w:lang w:eastAsia="en-US"/>
        </w:rPr>
        <w:t>we</w:t>
      </w:r>
      <w:r w:rsidRPr="00DD13A3">
        <w:rPr>
          <w:rFonts w:eastAsia="Calibri" w:cs="Arial"/>
          <w:iCs/>
          <w:szCs w:val="22"/>
          <w:lang w:eastAsia="en-US"/>
        </w:rPr>
        <w:t>re unknown.</w:t>
      </w:r>
    </w:p>
    <w:p w14:paraId="22CF6F07" w14:textId="77777777" w:rsidR="00BC1364" w:rsidRPr="00F715D1" w:rsidRDefault="00BC1364" w:rsidP="00F715D1">
      <w:pPr>
        <w:pStyle w:val="Heading1"/>
      </w:pPr>
      <w:r w:rsidRPr="00F715D1">
        <w:t>Comparative effectiveness</w:t>
      </w:r>
    </w:p>
    <w:p w14:paraId="4998FC39" w14:textId="77777777" w:rsidR="006B0FEE" w:rsidRPr="006B0FEE" w:rsidRDefault="006B0FEE" w:rsidP="007C2DC0">
      <w:pPr>
        <w:keepNext/>
        <w:keepLines/>
        <w:numPr>
          <w:ilvl w:val="6"/>
          <w:numId w:val="31"/>
        </w:numPr>
        <w:spacing w:before="240" w:after="120"/>
        <w:jc w:val="both"/>
        <w:outlineLvl w:val="1"/>
        <w:rPr>
          <w:rFonts w:eastAsia="SimSun"/>
          <w:i/>
          <w:snapToGrid w:val="0"/>
          <w:szCs w:val="28"/>
          <w:lang w:eastAsia="en-GB"/>
        </w:rPr>
      </w:pPr>
      <w:r w:rsidRPr="006B0FEE">
        <w:rPr>
          <w:rFonts w:eastAsia="SimSun"/>
          <w:i/>
          <w:snapToGrid w:val="0"/>
          <w:szCs w:val="28"/>
          <w:lang w:eastAsia="en-GB"/>
        </w:rPr>
        <w:t>Prognostic evidence</w:t>
      </w:r>
    </w:p>
    <w:p w14:paraId="0D10EDDA" w14:textId="28ABE45F" w:rsidR="006B0FEE" w:rsidRPr="006B0FEE" w:rsidRDefault="006B0FEE" w:rsidP="006B0FEE">
      <w:pPr>
        <w:rPr>
          <w:rFonts w:eastAsia="Calibri" w:cs="Arial"/>
          <w:iCs/>
          <w:szCs w:val="22"/>
          <w:lang w:eastAsia="en-US"/>
        </w:rPr>
      </w:pPr>
      <w:r w:rsidRPr="006B0FEE">
        <w:rPr>
          <w:rFonts w:eastAsia="Calibri" w:cs="Arial"/>
          <w:iCs/>
          <w:szCs w:val="22"/>
          <w:lang w:eastAsia="en-US"/>
        </w:rPr>
        <w:t xml:space="preserve">The submission did not present a systematic search of </w:t>
      </w:r>
      <w:r w:rsidRPr="006B0FEE">
        <w:t>prognostic</w:t>
      </w:r>
      <w:r w:rsidRPr="006B0FEE">
        <w:rPr>
          <w:rFonts w:eastAsia="Calibri" w:cs="Arial"/>
          <w:iCs/>
          <w:szCs w:val="22"/>
          <w:lang w:eastAsia="en-US"/>
        </w:rPr>
        <w:t xml:space="preserve"> evidence in the population of patients with </w:t>
      </w:r>
      <w:proofErr w:type="spellStart"/>
      <w:r w:rsidRPr="006B0FEE">
        <w:rPr>
          <w:rFonts w:eastAsia="Calibri" w:cs="Arial"/>
          <w:iCs/>
          <w:szCs w:val="22"/>
          <w:lang w:eastAsia="en-US"/>
        </w:rPr>
        <w:t>mCRPC</w:t>
      </w:r>
      <w:proofErr w:type="spellEnd"/>
      <w:r w:rsidRPr="006B0FEE">
        <w:rPr>
          <w:rFonts w:eastAsia="Calibri" w:cs="Arial"/>
          <w:iCs/>
          <w:szCs w:val="22"/>
          <w:lang w:eastAsia="en-US"/>
        </w:rPr>
        <w:t xml:space="preserve">. The submission only mentioned four studies in </w:t>
      </w:r>
      <w:r w:rsidR="00C93AD6">
        <w:rPr>
          <w:rFonts w:eastAsia="Calibri" w:cs="Arial"/>
          <w:iCs/>
          <w:szCs w:val="22"/>
          <w:lang w:eastAsia="en-US"/>
        </w:rPr>
        <w:t>its</w:t>
      </w:r>
      <w:r w:rsidRPr="006B0FEE">
        <w:rPr>
          <w:rFonts w:eastAsia="Calibri" w:cs="Arial"/>
          <w:iCs/>
          <w:szCs w:val="22"/>
          <w:lang w:eastAsia="en-US"/>
        </w:rPr>
        <w:t xml:space="preserve"> prognostic section, but the Commentary considered only two of those were relevant prognostic studies in this population. Other studies were mentioned in other sections in the submission, which d</w:t>
      </w:r>
      <w:r w:rsidR="00C93AD6">
        <w:rPr>
          <w:rFonts w:eastAsia="Calibri" w:cs="Arial"/>
          <w:iCs/>
          <w:szCs w:val="22"/>
          <w:lang w:eastAsia="en-US"/>
        </w:rPr>
        <w:t>id</w:t>
      </w:r>
      <w:r w:rsidRPr="006B0FEE">
        <w:rPr>
          <w:rFonts w:eastAsia="Calibri" w:cs="Arial"/>
          <w:iCs/>
          <w:szCs w:val="22"/>
          <w:lang w:eastAsia="en-US"/>
        </w:rPr>
        <w:t xml:space="preserve"> not provide additional information.</w:t>
      </w:r>
    </w:p>
    <w:p w14:paraId="4C45E2BB" w14:textId="2C8AF091" w:rsidR="006B0FEE" w:rsidRPr="006B0FEE" w:rsidRDefault="006B0FEE" w:rsidP="007C2DC0">
      <w:pPr>
        <w:spacing w:before="240"/>
        <w:rPr>
          <w:rFonts w:eastAsia="Calibri" w:cs="Arial"/>
          <w:szCs w:val="22"/>
          <w:lang w:eastAsia="en-US"/>
        </w:rPr>
      </w:pPr>
      <w:r w:rsidRPr="006B0FEE">
        <w:rPr>
          <w:rFonts w:eastAsia="Calibri" w:cs="Arial"/>
          <w:szCs w:val="22"/>
          <w:lang w:eastAsia="en-US"/>
        </w:rPr>
        <w:t xml:space="preserve">The two relevant prognostic studies </w:t>
      </w:r>
      <w:r w:rsidR="00491386" w:rsidRPr="006B0FEE">
        <w:rPr>
          <w:rFonts w:eastAsia="Calibri" w:cs="Arial"/>
          <w:szCs w:val="22"/>
          <w:lang w:eastAsia="en-US"/>
        </w:rPr>
        <w:t xml:space="preserve">included </w:t>
      </w:r>
      <w:r w:rsidRPr="006B0FEE">
        <w:rPr>
          <w:rFonts w:eastAsia="Calibri" w:cs="Arial"/>
          <w:szCs w:val="22"/>
          <w:lang w:eastAsia="en-US"/>
        </w:rPr>
        <w:t xml:space="preserve">were a </w:t>
      </w:r>
      <w:r w:rsidRPr="006B0FEE">
        <w:t>cohort</w:t>
      </w:r>
      <w:r w:rsidRPr="006B0FEE">
        <w:rPr>
          <w:rFonts w:eastAsia="Calibri" w:cs="Arial"/>
          <w:szCs w:val="22"/>
          <w:lang w:eastAsia="en-US"/>
        </w:rPr>
        <w:t xml:space="preserve"> study (Nyberg 2020) and a systematic review (Oh 2019) that evaluated the prognostic effect of </w:t>
      </w:r>
      <w:r w:rsidRPr="006B0FEE">
        <w:rPr>
          <w:rFonts w:eastAsia="Calibri" w:cs="Arial"/>
          <w:i/>
          <w:szCs w:val="22"/>
          <w:lang w:eastAsia="en-US"/>
        </w:rPr>
        <w:t>BRCA1/2</w:t>
      </w:r>
      <w:r w:rsidRPr="006B0FEE">
        <w:rPr>
          <w:rFonts w:eastAsia="Calibri" w:cs="Arial"/>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6B0FEE">
        <w:rPr>
          <w:rFonts w:eastAsia="Calibri" w:cs="Arial"/>
          <w:szCs w:val="22"/>
          <w:lang w:eastAsia="en-US"/>
        </w:rPr>
        <w:t>variants in patients with any stage of prostate cancer.</w:t>
      </w:r>
    </w:p>
    <w:p w14:paraId="24D2BBB6" w14:textId="47BAF975" w:rsidR="006B0FEE" w:rsidRPr="006B0FEE" w:rsidRDefault="006B0FEE" w:rsidP="007C2DC0">
      <w:pPr>
        <w:spacing w:before="240"/>
        <w:rPr>
          <w:rFonts w:eastAsia="Calibri" w:cs="Arial"/>
          <w:szCs w:val="22"/>
          <w:lang w:eastAsia="en-US"/>
        </w:rPr>
      </w:pPr>
      <w:r w:rsidRPr="006B0FEE">
        <w:rPr>
          <w:rFonts w:eastAsia="Calibri" w:cs="Arial"/>
          <w:iCs/>
          <w:szCs w:val="22"/>
          <w:lang w:eastAsia="en-US"/>
        </w:rPr>
        <w:t xml:space="preserve">Nyberg 2020 reported prognostic outcomes in patients with prostate cancer and </w:t>
      </w:r>
      <w:r w:rsidRPr="006B0FEE">
        <w:rPr>
          <w:rFonts w:eastAsia="Calibri" w:cs="Arial"/>
          <w:i/>
          <w:iCs/>
          <w:szCs w:val="22"/>
          <w:lang w:eastAsia="en-US"/>
        </w:rPr>
        <w:t>BRCA1/2</w:t>
      </w:r>
      <w:r w:rsidRPr="006B0FEE">
        <w:rPr>
          <w:rFonts w:eastAsia="Calibri" w:cs="Arial"/>
          <w:iCs/>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6B0FEE">
        <w:rPr>
          <w:rFonts w:eastAsia="Calibri" w:cs="Arial"/>
          <w:iCs/>
          <w:szCs w:val="22"/>
          <w:lang w:eastAsia="en-US"/>
        </w:rPr>
        <w:t xml:space="preserve">variant carriers compared to the general population. In the meta-analysis by Oh 2019, eleven studies were included to calculate the hazard </w:t>
      </w:r>
      <w:r w:rsidRPr="006B0FEE">
        <w:t>ratio</w:t>
      </w:r>
      <w:r w:rsidRPr="006B0FEE">
        <w:rPr>
          <w:rFonts w:eastAsia="Calibri" w:cs="Arial"/>
          <w:iCs/>
          <w:szCs w:val="22"/>
          <w:lang w:eastAsia="en-US"/>
        </w:rPr>
        <w:t xml:space="preserve"> of patients with prostate cancer carrying </w:t>
      </w:r>
      <w:r w:rsidRPr="006B0FEE">
        <w:rPr>
          <w:rFonts w:eastAsia="Calibri" w:cs="Arial"/>
          <w:i/>
          <w:iCs/>
          <w:szCs w:val="22"/>
          <w:lang w:eastAsia="en-US"/>
        </w:rPr>
        <w:t>BRCA1/2</w:t>
      </w:r>
      <w:r w:rsidRPr="006B0FEE">
        <w:rPr>
          <w:rFonts w:eastAsia="Calibri" w:cs="Arial"/>
          <w:iCs/>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6B0FEE">
        <w:rPr>
          <w:rFonts w:eastAsia="Calibri" w:cs="Arial"/>
          <w:iCs/>
          <w:szCs w:val="22"/>
          <w:lang w:eastAsia="en-US"/>
        </w:rPr>
        <w:t>variants compared to non-carriers for the outcomes of prostate cancer mortality and overall mortality.</w:t>
      </w:r>
    </w:p>
    <w:p w14:paraId="6FBD405B" w14:textId="22412541" w:rsidR="006B0FEE" w:rsidRPr="006B0FEE" w:rsidRDefault="006B0FEE" w:rsidP="007C2DC0">
      <w:pPr>
        <w:spacing w:before="240"/>
        <w:rPr>
          <w:rFonts w:eastAsia="Calibri" w:cs="Arial"/>
          <w:iCs/>
          <w:szCs w:val="22"/>
          <w:lang w:eastAsia="en-US"/>
        </w:rPr>
      </w:pPr>
      <w:r w:rsidRPr="006B0FEE">
        <w:rPr>
          <w:rFonts w:eastAsia="Calibri" w:cs="Arial"/>
          <w:iCs/>
          <w:szCs w:val="22"/>
          <w:lang w:eastAsia="en-US"/>
        </w:rPr>
        <w:t xml:space="preserve">Nyberg 2020 reported a significantly higher standardised mortality ratio for </w:t>
      </w:r>
      <w:r w:rsidRPr="006B0FEE">
        <w:rPr>
          <w:rFonts w:eastAsia="Calibri" w:cs="Arial"/>
          <w:i/>
          <w:iCs/>
          <w:szCs w:val="22"/>
          <w:lang w:eastAsia="en-US"/>
        </w:rPr>
        <w:t xml:space="preserve">BRCA2 </w:t>
      </w:r>
      <w:r w:rsidRPr="006B0FEE">
        <w:rPr>
          <w:rFonts w:eastAsia="Calibri" w:cs="Arial"/>
          <w:iCs/>
          <w:szCs w:val="22"/>
          <w:lang w:eastAsia="en-US"/>
        </w:rPr>
        <w:t xml:space="preserve">carriers compared to prostate cancer-specific mortality rates in the UK. Similar results were shown in the Oh 2019 meta-analysis for the outcome of prostate cancer specific mortality in </w:t>
      </w:r>
      <w:r w:rsidRPr="006B0FEE">
        <w:rPr>
          <w:rFonts w:eastAsia="Calibri" w:cs="Arial"/>
          <w:i/>
          <w:iCs/>
          <w:szCs w:val="22"/>
          <w:lang w:eastAsia="en-US"/>
        </w:rPr>
        <w:t xml:space="preserve">BRCA2 </w:t>
      </w:r>
      <w:r w:rsidRPr="006B0FEE">
        <w:rPr>
          <w:rFonts w:eastAsia="Calibri" w:cs="Arial"/>
          <w:iCs/>
          <w:szCs w:val="22"/>
          <w:lang w:eastAsia="en-US"/>
        </w:rPr>
        <w:t xml:space="preserve">carriers compared to non-carriers. In both studies, cancer-specific mortality in </w:t>
      </w:r>
      <w:r w:rsidRPr="006B0FEE">
        <w:rPr>
          <w:rFonts w:eastAsia="Calibri" w:cs="Arial"/>
          <w:i/>
          <w:iCs/>
          <w:szCs w:val="22"/>
          <w:lang w:eastAsia="en-US"/>
        </w:rPr>
        <w:t>BRCA1</w:t>
      </w:r>
      <w:r w:rsidRPr="006B0FEE">
        <w:rPr>
          <w:rFonts w:eastAsia="Calibri" w:cs="Arial"/>
          <w:iCs/>
          <w:szCs w:val="22"/>
          <w:lang w:eastAsia="en-US"/>
        </w:rPr>
        <w:t xml:space="preserve"> carriers was not significantly different to non-carriers.</w:t>
      </w:r>
    </w:p>
    <w:p w14:paraId="4A5ACBA8" w14:textId="77777777" w:rsidR="006B0FEE" w:rsidRPr="006B0FEE" w:rsidRDefault="006B0FEE" w:rsidP="007C2DC0">
      <w:pPr>
        <w:keepNext/>
        <w:keepLines/>
        <w:numPr>
          <w:ilvl w:val="6"/>
          <w:numId w:val="31"/>
        </w:numPr>
        <w:spacing w:before="240" w:after="120"/>
        <w:jc w:val="both"/>
        <w:outlineLvl w:val="1"/>
        <w:rPr>
          <w:rFonts w:eastAsia="SimSun"/>
          <w:i/>
          <w:snapToGrid w:val="0"/>
          <w:szCs w:val="28"/>
          <w:lang w:eastAsia="en-GB"/>
        </w:rPr>
      </w:pPr>
      <w:r w:rsidRPr="006B0FEE">
        <w:rPr>
          <w:rFonts w:eastAsia="SimSun"/>
          <w:i/>
          <w:snapToGrid w:val="0"/>
          <w:szCs w:val="28"/>
          <w:lang w:eastAsia="en-GB"/>
        </w:rPr>
        <w:t>Predictive evidence</w:t>
      </w:r>
    </w:p>
    <w:p w14:paraId="75F383A6" w14:textId="52A75C99" w:rsidR="007C2DC0" w:rsidRDefault="006B0FEE">
      <w:pPr>
        <w:rPr>
          <w:rFonts w:eastAsia="Calibri" w:cs="Arial"/>
          <w:szCs w:val="22"/>
          <w:lang w:eastAsia="en-US"/>
        </w:rPr>
      </w:pPr>
      <w:r w:rsidRPr="006B0FEE">
        <w:rPr>
          <w:rFonts w:eastAsia="Calibri" w:cs="Arial"/>
          <w:szCs w:val="22"/>
          <w:lang w:eastAsia="en-US"/>
        </w:rPr>
        <w:t xml:space="preserve">Evidence supporting the effectiveness of olaparib maintenance therapy vs. use of alternate NHA (abiraterone or enzalutamide) in </w:t>
      </w:r>
      <w:proofErr w:type="spellStart"/>
      <w:r w:rsidRPr="006B0FEE">
        <w:rPr>
          <w:rFonts w:eastAsia="Calibri" w:cs="Arial"/>
          <w:szCs w:val="22"/>
          <w:lang w:eastAsia="en-US"/>
        </w:rPr>
        <w:t>mCRPC</w:t>
      </w:r>
      <w:proofErr w:type="spellEnd"/>
      <w:r w:rsidRPr="006B0FEE">
        <w:rPr>
          <w:rFonts w:eastAsia="Calibri" w:cs="Arial"/>
          <w:szCs w:val="22"/>
          <w:lang w:eastAsia="en-US"/>
        </w:rPr>
        <w:t xml:space="preserve"> patients with </w:t>
      </w:r>
      <w:r w:rsidRPr="006B0FEE">
        <w:rPr>
          <w:i/>
        </w:rPr>
        <w:t>BRCA1</w:t>
      </w:r>
      <w:r w:rsidRPr="006B0FEE">
        <w:rPr>
          <w:rFonts w:eastAsia="Calibri" w:cs="Arial"/>
          <w:i/>
          <w:szCs w:val="22"/>
          <w:lang w:eastAsia="en-US"/>
        </w:rPr>
        <w:t>/2</w:t>
      </w:r>
      <w:r w:rsidRPr="006B0FEE">
        <w:rPr>
          <w:rFonts w:eastAsia="Calibri" w:cs="Arial"/>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6B0FEE">
        <w:rPr>
          <w:rFonts w:eastAsia="Calibri" w:cs="Arial"/>
          <w:szCs w:val="22"/>
          <w:lang w:eastAsia="en-US"/>
        </w:rPr>
        <w:t>variants (</w:t>
      </w:r>
      <w:proofErr w:type="spellStart"/>
      <w:r w:rsidRPr="006B0FEE">
        <w:rPr>
          <w:rFonts w:eastAsia="Calibri" w:cs="Arial"/>
          <w:szCs w:val="22"/>
          <w:lang w:eastAsia="en-US"/>
        </w:rPr>
        <w:t>PROfound</w:t>
      </w:r>
      <w:proofErr w:type="spellEnd"/>
      <w:r w:rsidRPr="006B0FEE">
        <w:rPr>
          <w:rFonts w:eastAsia="Calibri" w:cs="Arial"/>
          <w:szCs w:val="22"/>
          <w:lang w:eastAsia="en-US"/>
        </w:rPr>
        <w:t xml:space="preserve"> trial) </w:t>
      </w:r>
      <w:r w:rsidR="00C93AD6">
        <w:rPr>
          <w:rFonts w:eastAsia="Calibri" w:cs="Arial"/>
          <w:szCs w:val="22"/>
          <w:lang w:eastAsia="en-US"/>
        </w:rPr>
        <w:t>wa</w:t>
      </w:r>
      <w:r w:rsidRPr="006B0FEE">
        <w:rPr>
          <w:rFonts w:eastAsia="Calibri" w:cs="Arial"/>
          <w:szCs w:val="22"/>
          <w:lang w:eastAsia="en-US"/>
        </w:rPr>
        <w:t xml:space="preserve">s presented in </w:t>
      </w:r>
      <w:r w:rsidR="00C93AD6">
        <w:rPr>
          <w:rFonts w:eastAsia="Calibri" w:cs="Arial"/>
          <w:szCs w:val="22"/>
          <w:lang w:eastAsia="en-US"/>
        </w:rPr>
        <w:t>the submission</w:t>
      </w:r>
      <w:r w:rsidRPr="006B0FEE">
        <w:rPr>
          <w:rFonts w:eastAsia="Calibri" w:cs="Arial"/>
          <w:szCs w:val="22"/>
          <w:lang w:eastAsia="en-US"/>
        </w:rPr>
        <w:t xml:space="preserve">. The key outcomes from </w:t>
      </w:r>
      <w:proofErr w:type="spellStart"/>
      <w:r w:rsidRPr="006B0FEE">
        <w:rPr>
          <w:rFonts w:eastAsia="Calibri" w:cs="Arial"/>
          <w:szCs w:val="22"/>
          <w:lang w:eastAsia="en-US"/>
        </w:rPr>
        <w:t>PROfound</w:t>
      </w:r>
      <w:proofErr w:type="spellEnd"/>
      <w:r w:rsidRPr="006B0FEE">
        <w:rPr>
          <w:rFonts w:eastAsia="Calibri" w:cs="Arial"/>
          <w:szCs w:val="22"/>
          <w:lang w:eastAsia="en-US"/>
        </w:rPr>
        <w:t xml:space="preserve"> for olaparib versus NHA are summarised in the table below.</w:t>
      </w:r>
      <w:r w:rsidR="007C2DC0">
        <w:rPr>
          <w:rFonts w:eastAsia="Calibri" w:cs="Arial"/>
          <w:i/>
          <w:iCs/>
          <w:szCs w:val="22"/>
          <w:lang w:eastAsia="en-US"/>
        </w:rPr>
        <w:br w:type="page"/>
      </w:r>
    </w:p>
    <w:p w14:paraId="49C8C125" w14:textId="433194EC" w:rsidR="007B57FB" w:rsidRPr="00AD3D5C" w:rsidRDefault="007B57FB" w:rsidP="007C2DC0">
      <w:pPr>
        <w:pStyle w:val="Caption"/>
        <w:keepNext/>
        <w:spacing w:before="240" w:after="0"/>
        <w:rPr>
          <w:rFonts w:ascii="Arial Narrow" w:hAnsi="Arial Narrow"/>
          <w:b/>
          <w:sz w:val="20"/>
        </w:rPr>
      </w:pPr>
      <w:r w:rsidRPr="00AD3D5C">
        <w:rPr>
          <w:rFonts w:ascii="Arial Narrow" w:hAnsi="Arial Narrow"/>
          <w:b/>
          <w:i w:val="0"/>
          <w:color w:val="auto"/>
          <w:sz w:val="20"/>
          <w:szCs w:val="20"/>
        </w:rPr>
        <w:lastRenderedPageBreak/>
        <w:t xml:space="preserve">Table </w:t>
      </w:r>
      <w:r w:rsidRPr="00AD3D5C">
        <w:rPr>
          <w:rFonts w:ascii="Arial Narrow" w:hAnsi="Arial Narrow"/>
          <w:b/>
          <w:i w:val="0"/>
          <w:color w:val="auto"/>
          <w:sz w:val="20"/>
          <w:szCs w:val="20"/>
        </w:rPr>
        <w:fldChar w:fldCharType="begin"/>
      </w:r>
      <w:r w:rsidRPr="00AD3D5C">
        <w:rPr>
          <w:rFonts w:ascii="Arial Narrow" w:hAnsi="Arial Narrow"/>
          <w:b/>
          <w:i w:val="0"/>
          <w:color w:val="auto"/>
          <w:sz w:val="20"/>
          <w:szCs w:val="20"/>
        </w:rPr>
        <w:instrText xml:space="preserve"> SEQ Table \* ARABIC </w:instrText>
      </w:r>
      <w:r w:rsidRPr="00AD3D5C">
        <w:rPr>
          <w:rFonts w:ascii="Arial Narrow" w:hAnsi="Arial Narrow"/>
          <w:b/>
          <w:i w:val="0"/>
          <w:color w:val="auto"/>
          <w:sz w:val="20"/>
          <w:szCs w:val="20"/>
        </w:rPr>
        <w:fldChar w:fldCharType="separate"/>
      </w:r>
      <w:r w:rsidR="006C2E0B">
        <w:rPr>
          <w:rFonts w:ascii="Arial Narrow" w:hAnsi="Arial Narrow"/>
          <w:b/>
          <w:i w:val="0"/>
          <w:noProof/>
          <w:color w:val="auto"/>
          <w:sz w:val="20"/>
          <w:szCs w:val="20"/>
        </w:rPr>
        <w:t>6</w:t>
      </w:r>
      <w:r w:rsidRPr="00AD3D5C">
        <w:rPr>
          <w:rFonts w:ascii="Arial Narrow" w:hAnsi="Arial Narrow"/>
          <w:b/>
          <w:i w:val="0"/>
          <w:color w:val="auto"/>
          <w:sz w:val="20"/>
          <w:szCs w:val="20"/>
        </w:rPr>
        <w:fldChar w:fldCharType="end"/>
      </w:r>
      <w:r>
        <w:rPr>
          <w:rFonts w:ascii="Arial Narrow" w:hAnsi="Arial Narrow"/>
          <w:b/>
          <w:i w:val="0"/>
          <w:color w:val="auto"/>
          <w:sz w:val="20"/>
          <w:szCs w:val="20"/>
        </w:rPr>
        <w:tab/>
      </w:r>
      <w:r w:rsidRPr="007B57FB">
        <w:rPr>
          <w:rFonts w:ascii="Arial Narrow" w:hAnsi="Arial Narrow"/>
          <w:b/>
          <w:i w:val="0"/>
          <w:iCs w:val="0"/>
          <w:color w:val="auto"/>
          <w:sz w:val="19"/>
          <w:szCs w:val="19"/>
          <w:lang w:eastAsia="en-GB"/>
        </w:rPr>
        <w:t xml:space="preserve">Summary of </w:t>
      </w:r>
      <w:proofErr w:type="spellStart"/>
      <w:r w:rsidRPr="007B57FB">
        <w:rPr>
          <w:rFonts w:ascii="Arial Narrow" w:hAnsi="Arial Narrow"/>
          <w:b/>
          <w:i w:val="0"/>
          <w:iCs w:val="0"/>
          <w:color w:val="auto"/>
          <w:sz w:val="19"/>
          <w:szCs w:val="19"/>
          <w:lang w:eastAsia="en-GB"/>
        </w:rPr>
        <w:t>rPFS</w:t>
      </w:r>
      <w:proofErr w:type="spellEnd"/>
      <w:r w:rsidRPr="007B57FB">
        <w:rPr>
          <w:rFonts w:ascii="Arial Narrow" w:hAnsi="Arial Narrow"/>
          <w:b/>
          <w:i w:val="0"/>
          <w:iCs w:val="0"/>
          <w:color w:val="auto"/>
          <w:sz w:val="19"/>
          <w:szCs w:val="19"/>
          <w:lang w:eastAsia="en-GB"/>
        </w:rPr>
        <w:t xml:space="preserve"> and OS reported in </w:t>
      </w:r>
      <w:proofErr w:type="spellStart"/>
      <w:r w:rsidRPr="007B57FB">
        <w:rPr>
          <w:rFonts w:ascii="Arial Narrow" w:hAnsi="Arial Narrow"/>
          <w:b/>
          <w:i w:val="0"/>
          <w:iCs w:val="0"/>
          <w:color w:val="auto"/>
          <w:sz w:val="19"/>
          <w:szCs w:val="19"/>
          <w:lang w:eastAsia="en-GB"/>
        </w:rPr>
        <w:t>PROfound</w:t>
      </w:r>
      <w:proofErr w:type="spellEnd"/>
    </w:p>
    <w:tbl>
      <w:tblPr>
        <w:tblStyle w:val="RTIAMCPTable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Description w:val="Summary of rPFS and OS reported in PROfound"/>
      </w:tblPr>
      <w:tblGrid>
        <w:gridCol w:w="2405"/>
        <w:gridCol w:w="1134"/>
        <w:gridCol w:w="1134"/>
        <w:gridCol w:w="1418"/>
        <w:gridCol w:w="1559"/>
        <w:gridCol w:w="1559"/>
      </w:tblGrid>
      <w:tr w:rsidR="007B57FB" w:rsidRPr="007B57FB" w14:paraId="1D53541E" w14:textId="77777777" w:rsidTr="00360CB8">
        <w:trPr>
          <w:cnfStyle w:val="100000000000" w:firstRow="1" w:lastRow="0" w:firstColumn="0" w:lastColumn="0" w:oddVBand="0" w:evenVBand="0" w:oddHBand="0" w:evenHBand="0" w:firstRowFirstColumn="0" w:firstRowLastColumn="0" w:lastRowFirstColumn="0" w:lastRowLastColumn="0"/>
          <w:tblHeader/>
        </w:trPr>
        <w:tc>
          <w:tcPr>
            <w:tcW w:w="2405" w:type="dxa"/>
            <w:vMerge w:val="restart"/>
            <w:shd w:val="clear" w:color="auto" w:fill="auto"/>
          </w:tcPr>
          <w:p w14:paraId="3E900A6B" w14:textId="77777777" w:rsidR="007B57FB" w:rsidRPr="007B57FB" w:rsidRDefault="007B57FB" w:rsidP="007B57FB">
            <w:pPr>
              <w:spacing w:before="10" w:after="10"/>
              <w:jc w:val="both"/>
              <w:rPr>
                <w:rFonts w:ascii="Arial Narrow" w:hAnsi="Arial Narrow"/>
                <w:sz w:val="19"/>
                <w:szCs w:val="19"/>
              </w:rPr>
            </w:pPr>
          </w:p>
        </w:tc>
        <w:tc>
          <w:tcPr>
            <w:tcW w:w="2268" w:type="dxa"/>
            <w:gridSpan w:val="2"/>
            <w:shd w:val="clear" w:color="auto" w:fill="auto"/>
            <w:vAlign w:val="center"/>
          </w:tcPr>
          <w:p w14:paraId="36EC7354" w14:textId="77777777" w:rsidR="007B57FB" w:rsidRPr="007B57FB" w:rsidRDefault="007B57FB" w:rsidP="007B57FB">
            <w:pPr>
              <w:spacing w:before="10" w:after="10"/>
              <w:jc w:val="center"/>
              <w:rPr>
                <w:rFonts w:ascii="Arial Narrow" w:hAnsi="Arial Narrow"/>
                <w:sz w:val="19"/>
                <w:szCs w:val="19"/>
              </w:rPr>
            </w:pPr>
            <w:r w:rsidRPr="007B57FB">
              <w:rPr>
                <w:rFonts w:ascii="Arial Narrow" w:hAnsi="Arial Narrow"/>
                <w:sz w:val="19"/>
                <w:szCs w:val="19"/>
              </w:rPr>
              <w:t>Number of events/total number of patients (%)</w:t>
            </w:r>
          </w:p>
        </w:tc>
        <w:tc>
          <w:tcPr>
            <w:tcW w:w="1418" w:type="dxa"/>
            <w:shd w:val="clear" w:color="auto" w:fill="auto"/>
            <w:vAlign w:val="center"/>
          </w:tcPr>
          <w:p w14:paraId="281129CB" w14:textId="77777777" w:rsidR="007B57FB" w:rsidRPr="007B57FB" w:rsidRDefault="007B57FB" w:rsidP="007B57FB">
            <w:pPr>
              <w:spacing w:before="10" w:after="10"/>
              <w:jc w:val="center"/>
              <w:rPr>
                <w:rFonts w:ascii="Arial Narrow" w:hAnsi="Arial Narrow"/>
                <w:sz w:val="19"/>
                <w:szCs w:val="19"/>
              </w:rPr>
            </w:pPr>
            <w:r w:rsidRPr="007B57FB">
              <w:rPr>
                <w:rFonts w:ascii="Arial Narrow" w:hAnsi="Arial Narrow"/>
                <w:sz w:val="19"/>
                <w:szCs w:val="19"/>
              </w:rPr>
              <w:t>HR (95% CI)</w:t>
            </w:r>
          </w:p>
        </w:tc>
        <w:tc>
          <w:tcPr>
            <w:tcW w:w="3118" w:type="dxa"/>
            <w:gridSpan w:val="2"/>
            <w:shd w:val="clear" w:color="auto" w:fill="auto"/>
            <w:vAlign w:val="center"/>
          </w:tcPr>
          <w:p w14:paraId="357D2724" w14:textId="77777777" w:rsidR="007B57FB" w:rsidRPr="007B57FB" w:rsidRDefault="007B57FB" w:rsidP="007B57FB">
            <w:pPr>
              <w:spacing w:before="10" w:after="10"/>
              <w:jc w:val="center"/>
              <w:rPr>
                <w:rFonts w:ascii="Arial Narrow" w:hAnsi="Arial Narrow"/>
                <w:sz w:val="19"/>
                <w:szCs w:val="19"/>
              </w:rPr>
            </w:pPr>
            <w:r w:rsidRPr="007B57FB">
              <w:rPr>
                <w:rFonts w:ascii="Arial Narrow" w:hAnsi="Arial Narrow"/>
                <w:sz w:val="19"/>
                <w:szCs w:val="19"/>
              </w:rPr>
              <w:t>Median month (95% CI)</w:t>
            </w:r>
          </w:p>
        </w:tc>
      </w:tr>
      <w:tr w:rsidR="007B57FB" w:rsidRPr="007B57FB" w14:paraId="4525D20F" w14:textId="77777777" w:rsidTr="00360CB8">
        <w:trPr>
          <w:cnfStyle w:val="100000000000" w:firstRow="1" w:lastRow="0" w:firstColumn="0" w:lastColumn="0" w:oddVBand="0" w:evenVBand="0" w:oddHBand="0" w:evenHBand="0" w:firstRowFirstColumn="0" w:firstRowLastColumn="0" w:lastRowFirstColumn="0" w:lastRowLastColumn="0"/>
          <w:tblHeader/>
        </w:trPr>
        <w:tc>
          <w:tcPr>
            <w:tcW w:w="2405" w:type="dxa"/>
            <w:vMerge/>
            <w:shd w:val="clear" w:color="auto" w:fill="auto"/>
          </w:tcPr>
          <w:p w14:paraId="20CEB3AE" w14:textId="77777777" w:rsidR="007B57FB" w:rsidRPr="007B57FB" w:rsidRDefault="007B57FB" w:rsidP="007B57FB">
            <w:pPr>
              <w:spacing w:before="10" w:after="10"/>
              <w:jc w:val="both"/>
              <w:rPr>
                <w:rFonts w:ascii="Arial Narrow" w:hAnsi="Arial Narrow"/>
                <w:sz w:val="19"/>
                <w:szCs w:val="19"/>
              </w:rPr>
            </w:pPr>
          </w:p>
        </w:tc>
        <w:tc>
          <w:tcPr>
            <w:tcW w:w="1134" w:type="dxa"/>
            <w:shd w:val="clear" w:color="auto" w:fill="auto"/>
            <w:vAlign w:val="center"/>
          </w:tcPr>
          <w:p w14:paraId="34CFD734" w14:textId="77777777" w:rsidR="007B57FB" w:rsidRPr="007B57FB" w:rsidRDefault="007B57FB" w:rsidP="007B57FB">
            <w:pPr>
              <w:spacing w:before="10" w:after="10"/>
              <w:jc w:val="center"/>
              <w:rPr>
                <w:rFonts w:ascii="Arial Narrow" w:hAnsi="Arial Narrow"/>
                <w:b w:val="0"/>
                <w:sz w:val="19"/>
                <w:szCs w:val="19"/>
              </w:rPr>
            </w:pPr>
            <w:r w:rsidRPr="007B57FB">
              <w:rPr>
                <w:rFonts w:ascii="Arial Narrow" w:hAnsi="Arial Narrow"/>
                <w:b w:val="0"/>
                <w:sz w:val="19"/>
                <w:szCs w:val="19"/>
              </w:rPr>
              <w:t>Olaparib</w:t>
            </w:r>
          </w:p>
        </w:tc>
        <w:tc>
          <w:tcPr>
            <w:tcW w:w="1134" w:type="dxa"/>
            <w:shd w:val="clear" w:color="auto" w:fill="auto"/>
            <w:vAlign w:val="center"/>
          </w:tcPr>
          <w:p w14:paraId="247FBA30" w14:textId="77777777" w:rsidR="007B57FB" w:rsidRPr="007B57FB" w:rsidRDefault="007B57FB" w:rsidP="007B57FB">
            <w:pPr>
              <w:spacing w:before="10" w:after="10"/>
              <w:jc w:val="center"/>
              <w:rPr>
                <w:rFonts w:ascii="Arial Narrow" w:hAnsi="Arial Narrow"/>
                <w:b w:val="0"/>
                <w:sz w:val="19"/>
                <w:szCs w:val="19"/>
              </w:rPr>
            </w:pPr>
            <w:r w:rsidRPr="007B57FB">
              <w:rPr>
                <w:rFonts w:ascii="Arial Narrow" w:hAnsi="Arial Narrow"/>
                <w:b w:val="0"/>
                <w:sz w:val="19"/>
                <w:szCs w:val="19"/>
              </w:rPr>
              <w:t>NHA</w:t>
            </w:r>
          </w:p>
        </w:tc>
        <w:tc>
          <w:tcPr>
            <w:tcW w:w="1418" w:type="dxa"/>
            <w:shd w:val="clear" w:color="auto" w:fill="auto"/>
            <w:vAlign w:val="center"/>
          </w:tcPr>
          <w:p w14:paraId="5316842D" w14:textId="77777777" w:rsidR="007B57FB" w:rsidRPr="007B57FB" w:rsidRDefault="007B57FB" w:rsidP="007B57FB">
            <w:pPr>
              <w:spacing w:before="10" w:after="10"/>
              <w:jc w:val="center"/>
              <w:rPr>
                <w:rFonts w:ascii="Arial Narrow" w:hAnsi="Arial Narrow"/>
                <w:b w:val="0"/>
                <w:sz w:val="19"/>
                <w:szCs w:val="19"/>
              </w:rPr>
            </w:pPr>
            <w:r w:rsidRPr="007B57FB">
              <w:rPr>
                <w:rFonts w:ascii="Arial Narrow" w:hAnsi="Arial Narrow"/>
                <w:b w:val="0"/>
                <w:sz w:val="19"/>
                <w:szCs w:val="19"/>
              </w:rPr>
              <w:t>HR</w:t>
            </w:r>
          </w:p>
        </w:tc>
        <w:tc>
          <w:tcPr>
            <w:tcW w:w="1559" w:type="dxa"/>
            <w:shd w:val="clear" w:color="auto" w:fill="auto"/>
            <w:vAlign w:val="center"/>
          </w:tcPr>
          <w:p w14:paraId="21D989CB" w14:textId="77777777" w:rsidR="007B57FB" w:rsidRPr="007B57FB" w:rsidRDefault="007B57FB" w:rsidP="007B57FB">
            <w:pPr>
              <w:spacing w:before="10" w:after="10"/>
              <w:jc w:val="center"/>
              <w:rPr>
                <w:rFonts w:ascii="Arial Narrow" w:hAnsi="Arial Narrow"/>
                <w:b w:val="0"/>
                <w:sz w:val="19"/>
                <w:szCs w:val="19"/>
              </w:rPr>
            </w:pPr>
            <w:r w:rsidRPr="007B57FB">
              <w:rPr>
                <w:rFonts w:ascii="Arial Narrow" w:hAnsi="Arial Narrow"/>
                <w:b w:val="0"/>
                <w:sz w:val="19"/>
                <w:szCs w:val="19"/>
              </w:rPr>
              <w:t>Olaparib</w:t>
            </w:r>
          </w:p>
        </w:tc>
        <w:tc>
          <w:tcPr>
            <w:tcW w:w="1559" w:type="dxa"/>
            <w:shd w:val="clear" w:color="auto" w:fill="auto"/>
            <w:vAlign w:val="center"/>
          </w:tcPr>
          <w:p w14:paraId="3187E340" w14:textId="77777777" w:rsidR="007B57FB" w:rsidRPr="007B57FB" w:rsidRDefault="007B57FB" w:rsidP="007B57FB">
            <w:pPr>
              <w:spacing w:before="10" w:after="10"/>
              <w:jc w:val="center"/>
              <w:rPr>
                <w:rFonts w:ascii="Arial Narrow" w:hAnsi="Arial Narrow"/>
                <w:b w:val="0"/>
                <w:sz w:val="19"/>
                <w:szCs w:val="19"/>
              </w:rPr>
            </w:pPr>
            <w:r w:rsidRPr="007B57FB">
              <w:rPr>
                <w:rFonts w:ascii="Arial Narrow" w:hAnsi="Arial Narrow"/>
                <w:b w:val="0"/>
                <w:sz w:val="19"/>
                <w:szCs w:val="19"/>
              </w:rPr>
              <w:t>NHA</w:t>
            </w:r>
          </w:p>
        </w:tc>
      </w:tr>
      <w:tr w:rsidR="007B57FB" w:rsidRPr="007B57FB" w14:paraId="143C2615" w14:textId="77777777" w:rsidTr="00AE5405">
        <w:tc>
          <w:tcPr>
            <w:tcW w:w="9209" w:type="dxa"/>
            <w:gridSpan w:val="6"/>
            <w:shd w:val="clear" w:color="auto" w:fill="auto"/>
            <w:vAlign w:val="center"/>
          </w:tcPr>
          <w:p w14:paraId="56F8720C" w14:textId="77777777" w:rsidR="007B57FB" w:rsidRPr="007B57FB" w:rsidRDefault="007B57FB" w:rsidP="007B57FB">
            <w:pPr>
              <w:spacing w:before="10" w:after="10"/>
              <w:rPr>
                <w:rFonts w:ascii="Arial Narrow" w:hAnsi="Arial Narrow"/>
                <w:sz w:val="19"/>
                <w:szCs w:val="19"/>
              </w:rPr>
            </w:pPr>
            <w:r w:rsidRPr="007B57FB">
              <w:rPr>
                <w:rFonts w:ascii="Arial Narrow" w:hAnsi="Arial Narrow"/>
                <w:b/>
                <w:sz w:val="19"/>
                <w:szCs w:val="19"/>
                <w:lang w:eastAsia="en-GB"/>
              </w:rPr>
              <w:t>Radiological progression-free survival (</w:t>
            </w:r>
            <w:proofErr w:type="spellStart"/>
            <w:r w:rsidRPr="007B57FB">
              <w:rPr>
                <w:rFonts w:ascii="Arial Narrow" w:hAnsi="Arial Narrow"/>
                <w:b/>
                <w:sz w:val="19"/>
                <w:szCs w:val="19"/>
                <w:lang w:eastAsia="en-GB"/>
              </w:rPr>
              <w:t>rPFS</w:t>
            </w:r>
            <w:proofErr w:type="spellEnd"/>
            <w:r w:rsidRPr="007B57FB">
              <w:rPr>
                <w:rFonts w:ascii="Arial Narrow" w:hAnsi="Arial Narrow"/>
                <w:b/>
                <w:sz w:val="19"/>
                <w:szCs w:val="19"/>
                <w:lang w:eastAsia="en-GB"/>
              </w:rPr>
              <w:t>) – BICR assessed (data cut off: 4 June 2019)</w:t>
            </w:r>
          </w:p>
        </w:tc>
      </w:tr>
      <w:tr w:rsidR="007B57FB" w:rsidRPr="007B57FB" w14:paraId="6E3E7C22" w14:textId="77777777" w:rsidTr="00AD3D5C">
        <w:tc>
          <w:tcPr>
            <w:tcW w:w="2405" w:type="dxa"/>
            <w:shd w:val="clear" w:color="auto" w:fill="auto"/>
          </w:tcPr>
          <w:p w14:paraId="628DA06F" w14:textId="77777777" w:rsidR="007B57FB" w:rsidRPr="007B57FB" w:rsidRDefault="007B57FB" w:rsidP="007B57FB">
            <w:pPr>
              <w:spacing w:before="10" w:after="10"/>
              <w:jc w:val="both"/>
              <w:rPr>
                <w:rFonts w:ascii="Arial Narrow" w:hAnsi="Arial Narrow"/>
                <w:sz w:val="19"/>
                <w:szCs w:val="19"/>
              </w:rPr>
            </w:pPr>
            <w:r w:rsidRPr="007B57FB">
              <w:rPr>
                <w:rFonts w:ascii="Arial Narrow" w:hAnsi="Arial Narrow"/>
                <w:sz w:val="19"/>
                <w:szCs w:val="19"/>
              </w:rPr>
              <w:t>Cohort A (ITT)^ (</w:t>
            </w:r>
            <w:r w:rsidRPr="007B57FB">
              <w:rPr>
                <w:rFonts w:ascii="Arial Narrow" w:hAnsi="Arial Narrow"/>
                <w:i/>
                <w:sz w:val="19"/>
                <w:szCs w:val="19"/>
              </w:rPr>
              <w:t>BRCA1/2, ATM)</w:t>
            </w:r>
          </w:p>
        </w:tc>
        <w:tc>
          <w:tcPr>
            <w:tcW w:w="1134" w:type="dxa"/>
            <w:shd w:val="clear" w:color="auto" w:fill="auto"/>
            <w:vAlign w:val="center"/>
          </w:tcPr>
          <w:p w14:paraId="6E50B3FD" w14:textId="77777777" w:rsidR="007B57FB" w:rsidRPr="005029BF" w:rsidRDefault="007B57FB" w:rsidP="007B57FB">
            <w:pPr>
              <w:spacing w:before="10" w:after="10"/>
              <w:jc w:val="center"/>
              <w:rPr>
                <w:rFonts w:ascii="Arial Narrow" w:hAnsi="Arial Narrow"/>
                <w:sz w:val="19"/>
                <w:szCs w:val="19"/>
              </w:rPr>
            </w:pPr>
            <w:r w:rsidRPr="005029BF">
              <w:rPr>
                <w:rFonts w:ascii="Arial Narrow" w:hAnsi="Arial Narrow"/>
                <w:sz w:val="19"/>
                <w:szCs w:val="19"/>
              </w:rPr>
              <w:t>106/162 (65.4)</w:t>
            </w:r>
          </w:p>
        </w:tc>
        <w:tc>
          <w:tcPr>
            <w:tcW w:w="1134" w:type="dxa"/>
            <w:shd w:val="clear" w:color="auto" w:fill="auto"/>
            <w:vAlign w:val="center"/>
          </w:tcPr>
          <w:p w14:paraId="2915DFCE" w14:textId="77777777" w:rsidR="007B57FB" w:rsidRPr="00A84577" w:rsidRDefault="007B57FB" w:rsidP="007B57FB">
            <w:pPr>
              <w:spacing w:before="10" w:after="10"/>
              <w:jc w:val="center"/>
              <w:rPr>
                <w:rFonts w:ascii="Arial Narrow" w:hAnsi="Arial Narrow"/>
                <w:sz w:val="19"/>
                <w:szCs w:val="19"/>
              </w:rPr>
            </w:pPr>
            <w:r w:rsidRPr="00A84577">
              <w:rPr>
                <w:rFonts w:ascii="Arial Narrow" w:hAnsi="Arial Narrow"/>
                <w:sz w:val="19"/>
                <w:szCs w:val="19"/>
              </w:rPr>
              <w:t>68/83 (81.9)</w:t>
            </w:r>
          </w:p>
        </w:tc>
        <w:tc>
          <w:tcPr>
            <w:tcW w:w="1418" w:type="dxa"/>
            <w:shd w:val="clear" w:color="auto" w:fill="auto"/>
            <w:vAlign w:val="center"/>
          </w:tcPr>
          <w:p w14:paraId="4737B515" w14:textId="77777777" w:rsidR="007B57FB" w:rsidRPr="00A84577" w:rsidRDefault="007B57FB" w:rsidP="007B57FB">
            <w:pPr>
              <w:spacing w:before="10" w:after="10"/>
              <w:jc w:val="center"/>
              <w:rPr>
                <w:rFonts w:ascii="Arial Narrow" w:hAnsi="Arial Narrow"/>
                <w:sz w:val="19"/>
                <w:szCs w:val="19"/>
              </w:rPr>
            </w:pPr>
            <w:r w:rsidRPr="00A84577">
              <w:rPr>
                <w:rFonts w:ascii="Arial Narrow" w:hAnsi="Arial Narrow"/>
                <w:b/>
                <w:bCs/>
                <w:sz w:val="19"/>
                <w:szCs w:val="19"/>
                <w:lang w:eastAsia="en-GB"/>
              </w:rPr>
              <w:t>0.34 (0.25, 0.47)</w:t>
            </w:r>
          </w:p>
        </w:tc>
        <w:tc>
          <w:tcPr>
            <w:tcW w:w="1559" w:type="dxa"/>
            <w:shd w:val="clear" w:color="auto" w:fill="auto"/>
            <w:vAlign w:val="center"/>
          </w:tcPr>
          <w:p w14:paraId="3F2AB8E7" w14:textId="77777777" w:rsidR="007B57FB" w:rsidRPr="00A84577" w:rsidRDefault="007B57FB" w:rsidP="007B57FB">
            <w:pPr>
              <w:spacing w:before="10" w:after="10"/>
              <w:jc w:val="center"/>
              <w:rPr>
                <w:rFonts w:ascii="Arial Narrow" w:hAnsi="Arial Narrow"/>
                <w:sz w:val="19"/>
                <w:szCs w:val="19"/>
                <w:lang w:eastAsia="en-GB"/>
              </w:rPr>
            </w:pPr>
            <w:r w:rsidRPr="00A84577">
              <w:rPr>
                <w:rFonts w:ascii="Arial Narrow" w:hAnsi="Arial Narrow"/>
                <w:sz w:val="19"/>
                <w:szCs w:val="19"/>
                <w:lang w:eastAsia="en-GB"/>
              </w:rPr>
              <w:t>7.39 (6.24, 9.33)</w:t>
            </w:r>
          </w:p>
        </w:tc>
        <w:tc>
          <w:tcPr>
            <w:tcW w:w="1559" w:type="dxa"/>
            <w:shd w:val="clear" w:color="auto" w:fill="auto"/>
            <w:vAlign w:val="center"/>
          </w:tcPr>
          <w:p w14:paraId="65043A53" w14:textId="77777777" w:rsidR="007B57FB" w:rsidRPr="007B57FB" w:rsidRDefault="007B57FB" w:rsidP="007B57FB">
            <w:pPr>
              <w:spacing w:before="10" w:after="10"/>
              <w:jc w:val="center"/>
              <w:rPr>
                <w:rFonts w:ascii="Arial Narrow" w:hAnsi="Arial Narrow"/>
                <w:sz w:val="19"/>
                <w:szCs w:val="19"/>
              </w:rPr>
            </w:pPr>
            <w:r w:rsidRPr="007B57FB">
              <w:rPr>
                <w:rFonts w:ascii="Arial Narrow" w:hAnsi="Arial Narrow"/>
                <w:sz w:val="19"/>
                <w:szCs w:val="19"/>
                <w:lang w:eastAsia="en-GB"/>
              </w:rPr>
              <w:t>3.55 (1.91, 3.71)</w:t>
            </w:r>
          </w:p>
        </w:tc>
      </w:tr>
      <w:tr w:rsidR="007B57FB" w:rsidRPr="007B57FB" w14:paraId="4549D150" w14:textId="77777777" w:rsidTr="00AE5405">
        <w:tc>
          <w:tcPr>
            <w:tcW w:w="2405" w:type="dxa"/>
            <w:shd w:val="clear" w:color="auto" w:fill="auto"/>
          </w:tcPr>
          <w:p w14:paraId="6E2D1976" w14:textId="77777777" w:rsidR="007B57FB" w:rsidRPr="007B57FB" w:rsidRDefault="007B57FB" w:rsidP="007B57FB">
            <w:pPr>
              <w:spacing w:before="10" w:after="10"/>
              <w:jc w:val="both"/>
              <w:rPr>
                <w:rFonts w:ascii="Arial Narrow" w:hAnsi="Arial Narrow"/>
                <w:i/>
                <w:sz w:val="19"/>
                <w:szCs w:val="19"/>
              </w:rPr>
            </w:pPr>
            <w:r w:rsidRPr="007B57FB">
              <w:rPr>
                <w:rFonts w:ascii="Arial Narrow" w:hAnsi="Arial Narrow"/>
                <w:i/>
                <w:sz w:val="19"/>
                <w:szCs w:val="19"/>
              </w:rPr>
              <w:t>Cohort A+B</w:t>
            </w:r>
          </w:p>
        </w:tc>
        <w:tc>
          <w:tcPr>
            <w:tcW w:w="1134" w:type="dxa"/>
            <w:shd w:val="clear" w:color="auto" w:fill="auto"/>
            <w:vAlign w:val="center"/>
          </w:tcPr>
          <w:p w14:paraId="5336C079"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180/256 (70.3)</w:t>
            </w:r>
          </w:p>
        </w:tc>
        <w:tc>
          <w:tcPr>
            <w:tcW w:w="1134" w:type="dxa"/>
            <w:shd w:val="clear" w:color="auto" w:fill="auto"/>
            <w:vAlign w:val="center"/>
          </w:tcPr>
          <w:p w14:paraId="7682BE7E"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99/131 (75.6)</w:t>
            </w:r>
          </w:p>
        </w:tc>
        <w:tc>
          <w:tcPr>
            <w:tcW w:w="1418" w:type="dxa"/>
            <w:shd w:val="clear" w:color="auto" w:fill="auto"/>
            <w:vAlign w:val="center"/>
          </w:tcPr>
          <w:p w14:paraId="10D2CE21" w14:textId="77777777" w:rsidR="007B57FB" w:rsidRPr="007B57FB" w:rsidRDefault="007B57FB" w:rsidP="007B57FB">
            <w:pPr>
              <w:spacing w:before="10" w:after="10"/>
              <w:jc w:val="center"/>
              <w:rPr>
                <w:rFonts w:ascii="Arial Narrow" w:hAnsi="Arial Narrow"/>
                <w:b/>
                <w:i/>
                <w:sz w:val="19"/>
                <w:szCs w:val="19"/>
              </w:rPr>
            </w:pPr>
            <w:r w:rsidRPr="007B57FB">
              <w:rPr>
                <w:rFonts w:ascii="Arial Narrow" w:hAnsi="Arial Narrow"/>
                <w:b/>
                <w:i/>
                <w:sz w:val="19"/>
                <w:szCs w:val="19"/>
              </w:rPr>
              <w:t>0.49 (0.38, 0.63)</w:t>
            </w:r>
          </w:p>
        </w:tc>
        <w:tc>
          <w:tcPr>
            <w:tcW w:w="1559" w:type="dxa"/>
            <w:shd w:val="clear" w:color="auto" w:fill="auto"/>
            <w:vAlign w:val="center"/>
          </w:tcPr>
          <w:p w14:paraId="023A8043"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5.82 (5.52, 7.36)</w:t>
            </w:r>
          </w:p>
        </w:tc>
        <w:tc>
          <w:tcPr>
            <w:tcW w:w="1559" w:type="dxa"/>
            <w:shd w:val="clear" w:color="auto" w:fill="auto"/>
            <w:vAlign w:val="center"/>
          </w:tcPr>
          <w:p w14:paraId="19574DA1"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3.52 (2.20, 3.65)</w:t>
            </w:r>
          </w:p>
        </w:tc>
      </w:tr>
      <w:tr w:rsidR="007B57FB" w:rsidRPr="007B57FB" w14:paraId="787A23D3" w14:textId="77777777" w:rsidTr="00AD3D5C">
        <w:tc>
          <w:tcPr>
            <w:tcW w:w="2405" w:type="dxa"/>
            <w:shd w:val="clear" w:color="auto" w:fill="auto"/>
          </w:tcPr>
          <w:p w14:paraId="3BEFC0E8" w14:textId="77777777" w:rsidR="007B57FB" w:rsidRPr="007B57FB" w:rsidRDefault="007B57FB" w:rsidP="007B57FB">
            <w:pPr>
              <w:spacing w:before="10" w:after="10"/>
              <w:ind w:left="107"/>
              <w:jc w:val="both"/>
              <w:rPr>
                <w:rFonts w:ascii="Arial Narrow" w:hAnsi="Arial Narrow"/>
                <w:sz w:val="19"/>
                <w:szCs w:val="19"/>
              </w:rPr>
            </w:pPr>
            <w:r w:rsidRPr="007B57FB">
              <w:rPr>
                <w:rFonts w:ascii="Arial Narrow" w:hAnsi="Arial Narrow"/>
                <w:sz w:val="19"/>
                <w:szCs w:val="19"/>
              </w:rPr>
              <w:t>Cohort A + B (</w:t>
            </w:r>
            <w:r w:rsidRPr="007B57FB">
              <w:rPr>
                <w:rFonts w:ascii="Arial Narrow" w:hAnsi="Arial Narrow"/>
                <w:i/>
                <w:sz w:val="19"/>
                <w:szCs w:val="19"/>
              </w:rPr>
              <w:t>BRCA1/2)</w:t>
            </w:r>
          </w:p>
        </w:tc>
        <w:tc>
          <w:tcPr>
            <w:tcW w:w="1134" w:type="dxa"/>
            <w:shd w:val="clear" w:color="auto" w:fill="auto"/>
            <w:vAlign w:val="center"/>
          </w:tcPr>
          <w:p w14:paraId="77C84BC2"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62/102 (60.8)</w:t>
            </w:r>
          </w:p>
        </w:tc>
        <w:tc>
          <w:tcPr>
            <w:tcW w:w="1134" w:type="dxa"/>
            <w:shd w:val="clear" w:color="auto" w:fill="auto"/>
            <w:vAlign w:val="center"/>
          </w:tcPr>
          <w:p w14:paraId="5A0F5C9E"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51/58 (87.9)</w:t>
            </w:r>
          </w:p>
        </w:tc>
        <w:tc>
          <w:tcPr>
            <w:tcW w:w="1418" w:type="dxa"/>
            <w:shd w:val="clear" w:color="auto" w:fill="auto"/>
            <w:vAlign w:val="center"/>
          </w:tcPr>
          <w:p w14:paraId="1A60FF14" w14:textId="77777777" w:rsidR="007B57FB" w:rsidRPr="005029BF" w:rsidRDefault="007B57FB" w:rsidP="007B57FB">
            <w:pPr>
              <w:spacing w:before="10" w:after="10"/>
              <w:jc w:val="center"/>
              <w:rPr>
                <w:rFonts w:ascii="Arial Narrow" w:hAnsi="Arial Narrow"/>
                <w:b/>
                <w:sz w:val="19"/>
                <w:szCs w:val="19"/>
              </w:rPr>
            </w:pPr>
            <w:r w:rsidRPr="005029BF">
              <w:rPr>
                <w:rFonts w:ascii="Arial Narrow" w:hAnsi="Arial Narrow"/>
                <w:b/>
                <w:sz w:val="19"/>
                <w:szCs w:val="19"/>
              </w:rPr>
              <w:t>0.22 (0.15, 0.32)</w:t>
            </w:r>
          </w:p>
        </w:tc>
        <w:tc>
          <w:tcPr>
            <w:tcW w:w="1559" w:type="dxa"/>
            <w:shd w:val="clear" w:color="auto" w:fill="auto"/>
            <w:vAlign w:val="center"/>
          </w:tcPr>
          <w:p w14:paraId="16266867" w14:textId="77777777" w:rsidR="007B57FB" w:rsidRPr="00A84577" w:rsidRDefault="007B57FB" w:rsidP="007B57FB">
            <w:pPr>
              <w:spacing w:before="10" w:after="10"/>
              <w:jc w:val="center"/>
              <w:rPr>
                <w:rFonts w:ascii="Arial Narrow" w:hAnsi="Arial Narrow"/>
                <w:sz w:val="19"/>
                <w:szCs w:val="19"/>
              </w:rPr>
            </w:pPr>
            <w:r w:rsidRPr="00A84577">
              <w:rPr>
                <w:rFonts w:ascii="Arial Narrow" w:hAnsi="Arial Narrow"/>
                <w:sz w:val="19"/>
                <w:szCs w:val="19"/>
              </w:rPr>
              <w:t xml:space="preserve">9.79 (7.62, </w:t>
            </w:r>
            <w:r w:rsidRPr="00A84577">
              <w:rPr>
                <w:rFonts w:ascii="Arial Narrow" w:hAnsi="Arial Narrow"/>
                <w:i/>
                <w:sz w:val="19"/>
                <w:szCs w:val="19"/>
              </w:rPr>
              <w:t>11.30</w:t>
            </w:r>
            <w:r w:rsidRPr="00A84577">
              <w:rPr>
                <w:rFonts w:ascii="Arial Narrow" w:hAnsi="Arial Narrow"/>
                <w:i/>
                <w:sz w:val="19"/>
                <w:szCs w:val="19"/>
                <w:vertAlign w:val="superscript"/>
              </w:rPr>
              <w:t>a</w:t>
            </w:r>
            <w:r w:rsidRPr="00A84577">
              <w:rPr>
                <w:rFonts w:ascii="Arial Narrow" w:hAnsi="Arial Narrow"/>
                <w:i/>
                <w:sz w:val="19"/>
                <w:szCs w:val="19"/>
              </w:rPr>
              <w:t>)</w:t>
            </w:r>
          </w:p>
        </w:tc>
        <w:tc>
          <w:tcPr>
            <w:tcW w:w="1559" w:type="dxa"/>
            <w:shd w:val="clear" w:color="auto" w:fill="auto"/>
            <w:vAlign w:val="center"/>
          </w:tcPr>
          <w:p w14:paraId="5A7FEB7E" w14:textId="77777777" w:rsidR="007B57FB" w:rsidRPr="007B57FB" w:rsidRDefault="007B57FB" w:rsidP="007B57FB">
            <w:pPr>
              <w:spacing w:before="10" w:after="10"/>
              <w:jc w:val="center"/>
              <w:rPr>
                <w:rFonts w:ascii="Arial Narrow" w:hAnsi="Arial Narrow"/>
                <w:sz w:val="19"/>
                <w:szCs w:val="19"/>
              </w:rPr>
            </w:pPr>
            <w:r w:rsidRPr="007B57FB">
              <w:rPr>
                <w:rFonts w:ascii="Arial Narrow" w:hAnsi="Arial Narrow"/>
                <w:sz w:val="19"/>
                <w:szCs w:val="19"/>
              </w:rPr>
              <w:t>2.96 (1.81, 3.55)</w:t>
            </w:r>
          </w:p>
        </w:tc>
      </w:tr>
      <w:tr w:rsidR="007B57FB" w:rsidRPr="007B57FB" w14:paraId="20C7D0DA" w14:textId="77777777" w:rsidTr="00AE5405">
        <w:tc>
          <w:tcPr>
            <w:tcW w:w="2405" w:type="dxa"/>
            <w:shd w:val="clear" w:color="auto" w:fill="auto"/>
          </w:tcPr>
          <w:p w14:paraId="00BD5ACE" w14:textId="77777777" w:rsidR="007B57FB" w:rsidRPr="007B57FB" w:rsidRDefault="007B57FB" w:rsidP="007B57FB">
            <w:pPr>
              <w:spacing w:before="10" w:after="10"/>
              <w:ind w:left="107"/>
              <w:jc w:val="both"/>
              <w:rPr>
                <w:rFonts w:ascii="Arial Narrow" w:hAnsi="Arial Narrow"/>
                <w:i/>
                <w:sz w:val="19"/>
                <w:szCs w:val="19"/>
                <w:vertAlign w:val="superscript"/>
              </w:rPr>
            </w:pPr>
            <w:r w:rsidRPr="007B57FB">
              <w:rPr>
                <w:rFonts w:ascii="Arial Narrow" w:hAnsi="Arial Narrow"/>
                <w:i/>
                <w:sz w:val="19"/>
                <w:szCs w:val="19"/>
              </w:rPr>
              <w:t>Cohort A + B (BRCA1/2, ATM)</w:t>
            </w:r>
            <w:r w:rsidRPr="007B57FB">
              <w:rPr>
                <w:rFonts w:ascii="Arial Narrow" w:hAnsi="Arial Narrow"/>
                <w:i/>
                <w:sz w:val="19"/>
                <w:szCs w:val="19"/>
                <w:vertAlign w:val="superscript"/>
              </w:rPr>
              <w:t>b</w:t>
            </w:r>
          </w:p>
        </w:tc>
        <w:tc>
          <w:tcPr>
            <w:tcW w:w="1134" w:type="dxa"/>
            <w:shd w:val="clear" w:color="auto" w:fill="auto"/>
            <w:vAlign w:val="center"/>
          </w:tcPr>
          <w:p w14:paraId="7B513BC4"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108/165 (65.5)</w:t>
            </w:r>
          </w:p>
        </w:tc>
        <w:tc>
          <w:tcPr>
            <w:tcW w:w="1134" w:type="dxa"/>
            <w:shd w:val="clear" w:color="auto" w:fill="auto"/>
            <w:vAlign w:val="center"/>
          </w:tcPr>
          <w:p w14:paraId="766ED17A"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69/84 (82.1)</w:t>
            </w:r>
          </w:p>
        </w:tc>
        <w:tc>
          <w:tcPr>
            <w:tcW w:w="1418" w:type="dxa"/>
            <w:shd w:val="clear" w:color="auto" w:fill="auto"/>
            <w:vAlign w:val="center"/>
          </w:tcPr>
          <w:p w14:paraId="146723B1" w14:textId="77777777" w:rsidR="007B57FB" w:rsidRPr="007B57FB" w:rsidRDefault="007B57FB" w:rsidP="007B57FB">
            <w:pPr>
              <w:spacing w:before="10" w:after="10"/>
              <w:jc w:val="center"/>
              <w:rPr>
                <w:rFonts w:ascii="Arial Narrow" w:hAnsi="Arial Narrow"/>
                <w:b/>
                <w:i/>
                <w:sz w:val="19"/>
                <w:szCs w:val="19"/>
              </w:rPr>
            </w:pPr>
            <w:r w:rsidRPr="007B57FB">
              <w:rPr>
                <w:rFonts w:ascii="Arial Narrow" w:hAnsi="Arial Narrow"/>
                <w:b/>
                <w:i/>
                <w:sz w:val="19"/>
                <w:szCs w:val="19"/>
              </w:rPr>
              <w:t>0.38 (0.28, 0.52)</w:t>
            </w:r>
          </w:p>
        </w:tc>
        <w:tc>
          <w:tcPr>
            <w:tcW w:w="1559" w:type="dxa"/>
            <w:shd w:val="clear" w:color="auto" w:fill="auto"/>
            <w:vAlign w:val="center"/>
          </w:tcPr>
          <w:p w14:paraId="53D10635"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7.39 (6.87, 9.33)</w:t>
            </w:r>
          </w:p>
        </w:tc>
        <w:tc>
          <w:tcPr>
            <w:tcW w:w="1559" w:type="dxa"/>
            <w:shd w:val="clear" w:color="auto" w:fill="auto"/>
            <w:vAlign w:val="center"/>
          </w:tcPr>
          <w:p w14:paraId="14E7EEFB"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3.52 (1.87, 3.65)</w:t>
            </w:r>
          </w:p>
        </w:tc>
      </w:tr>
      <w:tr w:rsidR="007B57FB" w:rsidRPr="007B57FB" w14:paraId="64BBE7B3" w14:textId="77777777" w:rsidTr="00AE5405">
        <w:tc>
          <w:tcPr>
            <w:tcW w:w="2405" w:type="dxa"/>
            <w:shd w:val="clear" w:color="auto" w:fill="auto"/>
          </w:tcPr>
          <w:p w14:paraId="2CA4017B" w14:textId="77777777" w:rsidR="007B57FB" w:rsidRPr="007B57FB" w:rsidRDefault="007B57FB" w:rsidP="007B57FB">
            <w:pPr>
              <w:spacing w:before="10" w:after="10"/>
              <w:ind w:left="107"/>
              <w:jc w:val="both"/>
              <w:rPr>
                <w:rFonts w:ascii="Arial Narrow" w:hAnsi="Arial Narrow"/>
                <w:i/>
                <w:sz w:val="19"/>
                <w:szCs w:val="19"/>
                <w:vertAlign w:val="superscript"/>
              </w:rPr>
            </w:pPr>
            <w:r w:rsidRPr="007B57FB">
              <w:rPr>
                <w:rFonts w:ascii="Arial Narrow" w:hAnsi="Arial Narrow"/>
                <w:i/>
                <w:sz w:val="19"/>
                <w:szCs w:val="19"/>
              </w:rPr>
              <w:t xml:space="preserve">Cohort B </w:t>
            </w:r>
            <w:proofErr w:type="spellStart"/>
            <w:r w:rsidRPr="007B57FB">
              <w:rPr>
                <w:rFonts w:ascii="Arial Narrow" w:hAnsi="Arial Narrow"/>
                <w:i/>
                <w:sz w:val="19"/>
                <w:szCs w:val="19"/>
              </w:rPr>
              <w:t>genes</w:t>
            </w:r>
            <w:r w:rsidRPr="007B57FB">
              <w:rPr>
                <w:rFonts w:ascii="Arial Narrow" w:hAnsi="Arial Narrow"/>
                <w:i/>
                <w:sz w:val="19"/>
                <w:szCs w:val="19"/>
                <w:vertAlign w:val="superscript"/>
              </w:rPr>
              <w:t>c</w:t>
            </w:r>
            <w:proofErr w:type="spellEnd"/>
          </w:p>
        </w:tc>
        <w:tc>
          <w:tcPr>
            <w:tcW w:w="1134" w:type="dxa"/>
            <w:shd w:val="clear" w:color="auto" w:fill="auto"/>
            <w:vAlign w:val="center"/>
          </w:tcPr>
          <w:p w14:paraId="2AD98DB2"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30/39 (76.9)</w:t>
            </w:r>
          </w:p>
        </w:tc>
        <w:tc>
          <w:tcPr>
            <w:tcW w:w="1134" w:type="dxa"/>
            <w:shd w:val="clear" w:color="auto" w:fill="auto"/>
            <w:vAlign w:val="center"/>
          </w:tcPr>
          <w:p w14:paraId="771DC079"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16/24 (66.7)</w:t>
            </w:r>
          </w:p>
        </w:tc>
        <w:tc>
          <w:tcPr>
            <w:tcW w:w="1418" w:type="dxa"/>
            <w:shd w:val="clear" w:color="auto" w:fill="auto"/>
            <w:vAlign w:val="center"/>
          </w:tcPr>
          <w:p w14:paraId="4B6DE7DB"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1.00 (0.55, 1.88)</w:t>
            </w:r>
          </w:p>
        </w:tc>
        <w:tc>
          <w:tcPr>
            <w:tcW w:w="1559" w:type="dxa"/>
            <w:shd w:val="clear" w:color="auto" w:fill="auto"/>
            <w:vAlign w:val="center"/>
          </w:tcPr>
          <w:p w14:paraId="526486D0"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3.91 (2.00, 7.20)</w:t>
            </w:r>
          </w:p>
        </w:tc>
        <w:tc>
          <w:tcPr>
            <w:tcW w:w="1559" w:type="dxa"/>
            <w:shd w:val="clear" w:color="auto" w:fill="auto"/>
            <w:vAlign w:val="center"/>
          </w:tcPr>
          <w:p w14:paraId="7594B3A0"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3.71 (1.87, 5.75)</w:t>
            </w:r>
          </w:p>
        </w:tc>
      </w:tr>
      <w:tr w:rsidR="007B57FB" w:rsidRPr="007B57FB" w14:paraId="73E8F1BF" w14:textId="77777777" w:rsidTr="00AE5405">
        <w:tc>
          <w:tcPr>
            <w:tcW w:w="2405" w:type="dxa"/>
            <w:shd w:val="clear" w:color="auto" w:fill="auto"/>
          </w:tcPr>
          <w:p w14:paraId="17B4B17F" w14:textId="77777777" w:rsidR="007B57FB" w:rsidRPr="007B57FB" w:rsidRDefault="007B57FB" w:rsidP="007B57FB">
            <w:pPr>
              <w:spacing w:before="10" w:after="10"/>
              <w:ind w:left="107"/>
              <w:jc w:val="both"/>
              <w:rPr>
                <w:rFonts w:ascii="Arial Narrow" w:hAnsi="Arial Narrow"/>
                <w:i/>
                <w:sz w:val="19"/>
                <w:szCs w:val="19"/>
                <w:vertAlign w:val="superscript"/>
              </w:rPr>
            </w:pPr>
            <w:r w:rsidRPr="007B57FB">
              <w:rPr>
                <w:rFonts w:ascii="Arial Narrow" w:hAnsi="Arial Narrow"/>
                <w:i/>
                <w:sz w:val="19"/>
                <w:szCs w:val="19"/>
              </w:rPr>
              <w:t xml:space="preserve">Any single HRR </w:t>
            </w:r>
            <w:proofErr w:type="spellStart"/>
            <w:r w:rsidRPr="007B57FB">
              <w:rPr>
                <w:rFonts w:ascii="Arial Narrow" w:hAnsi="Arial Narrow"/>
                <w:i/>
                <w:sz w:val="19"/>
                <w:szCs w:val="19"/>
              </w:rPr>
              <w:t>gene</w:t>
            </w:r>
            <w:r w:rsidRPr="007B57FB">
              <w:rPr>
                <w:rFonts w:ascii="Arial Narrow" w:hAnsi="Arial Narrow"/>
                <w:i/>
                <w:sz w:val="19"/>
                <w:szCs w:val="19"/>
                <w:vertAlign w:val="superscript"/>
              </w:rPr>
              <w:t>d</w:t>
            </w:r>
            <w:proofErr w:type="spellEnd"/>
          </w:p>
        </w:tc>
        <w:tc>
          <w:tcPr>
            <w:tcW w:w="1134" w:type="dxa"/>
            <w:shd w:val="clear" w:color="auto" w:fill="auto"/>
            <w:vAlign w:val="center"/>
          </w:tcPr>
          <w:p w14:paraId="0A0A0518"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169/239 (70.7)</w:t>
            </w:r>
          </w:p>
        </w:tc>
        <w:tc>
          <w:tcPr>
            <w:tcW w:w="1134" w:type="dxa"/>
            <w:shd w:val="clear" w:color="auto" w:fill="auto"/>
            <w:vAlign w:val="center"/>
          </w:tcPr>
          <w:p w14:paraId="3D7226C9"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91/120 (75.8)</w:t>
            </w:r>
          </w:p>
        </w:tc>
        <w:tc>
          <w:tcPr>
            <w:tcW w:w="1418" w:type="dxa"/>
            <w:shd w:val="clear" w:color="auto" w:fill="auto"/>
            <w:vAlign w:val="center"/>
          </w:tcPr>
          <w:p w14:paraId="5F46C848" w14:textId="77777777" w:rsidR="007B57FB" w:rsidRPr="007B57FB" w:rsidRDefault="007B57FB" w:rsidP="007B57FB">
            <w:pPr>
              <w:spacing w:before="10" w:after="10"/>
              <w:jc w:val="center"/>
              <w:rPr>
                <w:rFonts w:ascii="Arial Narrow" w:hAnsi="Arial Narrow"/>
                <w:b/>
                <w:i/>
                <w:sz w:val="19"/>
                <w:szCs w:val="19"/>
              </w:rPr>
            </w:pPr>
            <w:r w:rsidRPr="007B57FB">
              <w:rPr>
                <w:rFonts w:ascii="Arial Narrow" w:hAnsi="Arial Narrow"/>
                <w:b/>
                <w:i/>
                <w:sz w:val="19"/>
                <w:szCs w:val="19"/>
              </w:rPr>
              <w:t>0.53 (0.41, 0.69)</w:t>
            </w:r>
          </w:p>
        </w:tc>
        <w:tc>
          <w:tcPr>
            <w:tcW w:w="1559" w:type="dxa"/>
            <w:shd w:val="clear" w:color="auto" w:fill="auto"/>
            <w:vAlign w:val="center"/>
          </w:tcPr>
          <w:p w14:paraId="397E5523"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6.08 (5.52, 7.36)</w:t>
            </w:r>
          </w:p>
        </w:tc>
        <w:tc>
          <w:tcPr>
            <w:tcW w:w="1559" w:type="dxa"/>
            <w:shd w:val="clear" w:color="auto" w:fill="auto"/>
            <w:vAlign w:val="center"/>
          </w:tcPr>
          <w:p w14:paraId="3E94F788"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3.52 (1.97, 3.71)</w:t>
            </w:r>
          </w:p>
        </w:tc>
      </w:tr>
      <w:tr w:rsidR="007B57FB" w:rsidRPr="007B57FB" w14:paraId="76427067" w14:textId="77777777" w:rsidTr="00AE5405">
        <w:tc>
          <w:tcPr>
            <w:tcW w:w="2405" w:type="dxa"/>
            <w:shd w:val="clear" w:color="auto" w:fill="auto"/>
          </w:tcPr>
          <w:p w14:paraId="4A8F2851" w14:textId="77777777" w:rsidR="007B57FB" w:rsidRPr="007B57FB" w:rsidRDefault="007B57FB" w:rsidP="007B57FB">
            <w:pPr>
              <w:spacing w:before="10" w:after="10"/>
              <w:jc w:val="right"/>
              <w:rPr>
                <w:rFonts w:ascii="Arial Narrow" w:hAnsi="Arial Narrow"/>
                <w:i/>
                <w:sz w:val="19"/>
                <w:szCs w:val="19"/>
                <w:vertAlign w:val="superscript"/>
              </w:rPr>
            </w:pPr>
            <w:r w:rsidRPr="007B57FB">
              <w:rPr>
                <w:rFonts w:ascii="Arial Narrow" w:hAnsi="Arial Narrow"/>
                <w:i/>
                <w:sz w:val="19"/>
                <w:szCs w:val="19"/>
              </w:rPr>
              <w:t>BRCA1</w:t>
            </w:r>
            <w:r w:rsidRPr="007B57FB">
              <w:rPr>
                <w:rFonts w:ascii="Arial Narrow" w:hAnsi="Arial Narrow"/>
                <w:i/>
                <w:sz w:val="19"/>
                <w:szCs w:val="19"/>
                <w:vertAlign w:val="superscript"/>
              </w:rPr>
              <w:t>d</w:t>
            </w:r>
          </w:p>
        </w:tc>
        <w:tc>
          <w:tcPr>
            <w:tcW w:w="1134" w:type="dxa"/>
            <w:shd w:val="clear" w:color="auto" w:fill="auto"/>
            <w:vAlign w:val="center"/>
          </w:tcPr>
          <w:p w14:paraId="710A960C"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7/8 (87.5)</w:t>
            </w:r>
          </w:p>
        </w:tc>
        <w:tc>
          <w:tcPr>
            <w:tcW w:w="1134" w:type="dxa"/>
            <w:shd w:val="clear" w:color="auto" w:fill="auto"/>
            <w:vAlign w:val="center"/>
          </w:tcPr>
          <w:p w14:paraId="3E2B3668"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5/5 (100)</w:t>
            </w:r>
          </w:p>
        </w:tc>
        <w:tc>
          <w:tcPr>
            <w:tcW w:w="1418" w:type="dxa"/>
            <w:shd w:val="clear" w:color="auto" w:fill="auto"/>
            <w:vAlign w:val="center"/>
          </w:tcPr>
          <w:p w14:paraId="1AD30AED"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0.41 (0.13, 1.39)</w:t>
            </w:r>
          </w:p>
        </w:tc>
        <w:tc>
          <w:tcPr>
            <w:tcW w:w="1559" w:type="dxa"/>
            <w:shd w:val="clear" w:color="auto" w:fill="auto"/>
            <w:vAlign w:val="center"/>
          </w:tcPr>
          <w:p w14:paraId="2D56E317"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2.07 (1.38, 5.52)</w:t>
            </w:r>
          </w:p>
        </w:tc>
        <w:tc>
          <w:tcPr>
            <w:tcW w:w="1559" w:type="dxa"/>
            <w:shd w:val="clear" w:color="auto" w:fill="auto"/>
            <w:vAlign w:val="center"/>
          </w:tcPr>
          <w:p w14:paraId="7952BDA6"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1.84 (1.71, 3.71)</w:t>
            </w:r>
          </w:p>
        </w:tc>
      </w:tr>
      <w:tr w:rsidR="007B57FB" w:rsidRPr="007B57FB" w14:paraId="3E58641B" w14:textId="77777777" w:rsidTr="00AE5405">
        <w:tc>
          <w:tcPr>
            <w:tcW w:w="2405" w:type="dxa"/>
            <w:shd w:val="clear" w:color="auto" w:fill="auto"/>
          </w:tcPr>
          <w:p w14:paraId="6DDF1D38" w14:textId="77777777" w:rsidR="007B57FB" w:rsidRPr="007B57FB" w:rsidRDefault="007B57FB" w:rsidP="007B57FB">
            <w:pPr>
              <w:spacing w:before="10" w:after="10"/>
              <w:jc w:val="right"/>
              <w:rPr>
                <w:rFonts w:ascii="Arial Narrow" w:hAnsi="Arial Narrow"/>
                <w:i/>
                <w:sz w:val="19"/>
                <w:szCs w:val="19"/>
                <w:vertAlign w:val="superscript"/>
              </w:rPr>
            </w:pPr>
            <w:r w:rsidRPr="007B57FB">
              <w:rPr>
                <w:rFonts w:ascii="Arial Narrow" w:hAnsi="Arial Narrow"/>
                <w:i/>
                <w:sz w:val="19"/>
                <w:szCs w:val="19"/>
              </w:rPr>
              <w:t>BRCA2</w:t>
            </w:r>
            <w:r w:rsidRPr="007B57FB">
              <w:rPr>
                <w:rFonts w:ascii="Arial Narrow" w:hAnsi="Arial Narrow"/>
                <w:i/>
                <w:sz w:val="19"/>
                <w:szCs w:val="19"/>
                <w:vertAlign w:val="superscript"/>
              </w:rPr>
              <w:t>d</w:t>
            </w:r>
          </w:p>
        </w:tc>
        <w:tc>
          <w:tcPr>
            <w:tcW w:w="1134" w:type="dxa"/>
            <w:shd w:val="clear" w:color="auto" w:fill="auto"/>
            <w:vAlign w:val="center"/>
          </w:tcPr>
          <w:p w14:paraId="2370ECA6"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47/81 (58.0)</w:t>
            </w:r>
          </w:p>
        </w:tc>
        <w:tc>
          <w:tcPr>
            <w:tcW w:w="1134" w:type="dxa"/>
            <w:shd w:val="clear" w:color="auto" w:fill="auto"/>
            <w:vAlign w:val="center"/>
          </w:tcPr>
          <w:p w14:paraId="3E336729"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40/47 (85.1)</w:t>
            </w:r>
          </w:p>
        </w:tc>
        <w:tc>
          <w:tcPr>
            <w:tcW w:w="1418" w:type="dxa"/>
            <w:shd w:val="clear" w:color="auto" w:fill="auto"/>
            <w:vAlign w:val="center"/>
          </w:tcPr>
          <w:p w14:paraId="550954FA" w14:textId="77777777" w:rsidR="007B57FB" w:rsidRPr="007B57FB" w:rsidRDefault="007B57FB" w:rsidP="007B57FB">
            <w:pPr>
              <w:spacing w:before="10" w:after="10"/>
              <w:jc w:val="center"/>
              <w:rPr>
                <w:rFonts w:ascii="Arial Narrow" w:hAnsi="Arial Narrow"/>
                <w:b/>
                <w:i/>
                <w:sz w:val="19"/>
                <w:szCs w:val="19"/>
              </w:rPr>
            </w:pPr>
            <w:r w:rsidRPr="007B57FB">
              <w:rPr>
                <w:rFonts w:ascii="Arial Narrow" w:hAnsi="Arial Narrow"/>
                <w:b/>
                <w:i/>
                <w:sz w:val="19"/>
                <w:szCs w:val="19"/>
              </w:rPr>
              <w:t>0.21 (0.13, 0.32)</w:t>
            </w:r>
          </w:p>
        </w:tc>
        <w:tc>
          <w:tcPr>
            <w:tcW w:w="1559" w:type="dxa"/>
            <w:shd w:val="clear" w:color="auto" w:fill="auto"/>
            <w:vAlign w:val="center"/>
          </w:tcPr>
          <w:p w14:paraId="620DE6CA"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10.84 (9.17, 13.08)</w:t>
            </w:r>
          </w:p>
        </w:tc>
        <w:tc>
          <w:tcPr>
            <w:tcW w:w="1559" w:type="dxa"/>
            <w:shd w:val="clear" w:color="auto" w:fill="auto"/>
            <w:vAlign w:val="center"/>
          </w:tcPr>
          <w:p w14:paraId="4A5BC9C5"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3.48 (1.74, 3.65)</w:t>
            </w:r>
          </w:p>
        </w:tc>
      </w:tr>
      <w:tr w:rsidR="007B57FB" w:rsidRPr="007B57FB" w14:paraId="6DF38DFC" w14:textId="77777777" w:rsidTr="00AE5405">
        <w:tc>
          <w:tcPr>
            <w:tcW w:w="2405" w:type="dxa"/>
            <w:shd w:val="clear" w:color="auto" w:fill="auto"/>
          </w:tcPr>
          <w:p w14:paraId="60053BF8" w14:textId="77777777" w:rsidR="007B57FB" w:rsidRPr="007B57FB" w:rsidRDefault="007B57FB" w:rsidP="007B57FB">
            <w:pPr>
              <w:spacing w:before="10" w:after="10"/>
              <w:jc w:val="right"/>
              <w:rPr>
                <w:rFonts w:ascii="Arial Narrow" w:hAnsi="Arial Narrow"/>
                <w:i/>
                <w:sz w:val="19"/>
                <w:szCs w:val="19"/>
                <w:vertAlign w:val="superscript"/>
              </w:rPr>
            </w:pPr>
            <w:proofErr w:type="spellStart"/>
            <w:r w:rsidRPr="007B57FB">
              <w:rPr>
                <w:rFonts w:ascii="Arial Narrow" w:hAnsi="Arial Narrow"/>
                <w:i/>
                <w:sz w:val="19"/>
                <w:szCs w:val="19"/>
              </w:rPr>
              <w:t>ATM</w:t>
            </w:r>
            <w:r w:rsidRPr="007B57FB">
              <w:rPr>
                <w:rFonts w:ascii="Arial Narrow" w:hAnsi="Arial Narrow"/>
                <w:i/>
                <w:sz w:val="19"/>
                <w:szCs w:val="19"/>
                <w:vertAlign w:val="superscript"/>
              </w:rPr>
              <w:t>d</w:t>
            </w:r>
            <w:proofErr w:type="spellEnd"/>
          </w:p>
        </w:tc>
        <w:tc>
          <w:tcPr>
            <w:tcW w:w="1134" w:type="dxa"/>
            <w:shd w:val="clear" w:color="auto" w:fill="auto"/>
            <w:vAlign w:val="center"/>
          </w:tcPr>
          <w:p w14:paraId="43DA82F8"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46/62 (74.2)</w:t>
            </w:r>
          </w:p>
        </w:tc>
        <w:tc>
          <w:tcPr>
            <w:tcW w:w="1134" w:type="dxa"/>
            <w:shd w:val="clear" w:color="auto" w:fill="auto"/>
            <w:vAlign w:val="center"/>
          </w:tcPr>
          <w:p w14:paraId="30DF30D2"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17/24 (70.8)</w:t>
            </w:r>
          </w:p>
        </w:tc>
        <w:tc>
          <w:tcPr>
            <w:tcW w:w="1418" w:type="dxa"/>
            <w:shd w:val="clear" w:color="auto" w:fill="auto"/>
            <w:vAlign w:val="center"/>
          </w:tcPr>
          <w:p w14:paraId="7D60C220"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1.04 (0.61, 1.87)</w:t>
            </w:r>
          </w:p>
        </w:tc>
        <w:tc>
          <w:tcPr>
            <w:tcW w:w="1559" w:type="dxa"/>
            <w:shd w:val="clear" w:color="auto" w:fill="auto"/>
            <w:vAlign w:val="center"/>
          </w:tcPr>
          <w:p w14:paraId="04043DAA"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5.36 (3.61, 6.21)</w:t>
            </w:r>
          </w:p>
        </w:tc>
        <w:tc>
          <w:tcPr>
            <w:tcW w:w="1559" w:type="dxa"/>
            <w:shd w:val="clear" w:color="auto" w:fill="auto"/>
            <w:vAlign w:val="center"/>
          </w:tcPr>
          <w:p w14:paraId="31BE55EF"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4.70 (1.84, 7.26)</w:t>
            </w:r>
          </w:p>
        </w:tc>
      </w:tr>
      <w:tr w:rsidR="007B57FB" w:rsidRPr="007B57FB" w14:paraId="75504BDF" w14:textId="77777777" w:rsidTr="00AE5405">
        <w:tc>
          <w:tcPr>
            <w:tcW w:w="2405" w:type="dxa"/>
            <w:shd w:val="clear" w:color="auto" w:fill="auto"/>
          </w:tcPr>
          <w:p w14:paraId="339AE66C" w14:textId="77777777" w:rsidR="007B57FB" w:rsidRPr="007B57FB" w:rsidRDefault="007B57FB" w:rsidP="007B57FB">
            <w:pPr>
              <w:spacing w:before="10" w:after="10"/>
              <w:jc w:val="right"/>
              <w:rPr>
                <w:rFonts w:ascii="Arial Narrow" w:hAnsi="Arial Narrow"/>
                <w:i/>
                <w:sz w:val="19"/>
                <w:szCs w:val="19"/>
                <w:vertAlign w:val="superscript"/>
              </w:rPr>
            </w:pPr>
            <w:r w:rsidRPr="007B57FB">
              <w:rPr>
                <w:rFonts w:ascii="Arial Narrow" w:hAnsi="Arial Narrow"/>
                <w:i/>
                <w:sz w:val="19"/>
                <w:szCs w:val="19"/>
              </w:rPr>
              <w:t>CDK12</w:t>
            </w:r>
            <w:r w:rsidRPr="007B57FB">
              <w:rPr>
                <w:rFonts w:ascii="Arial Narrow" w:hAnsi="Arial Narrow"/>
                <w:i/>
                <w:sz w:val="19"/>
                <w:szCs w:val="19"/>
                <w:vertAlign w:val="superscript"/>
              </w:rPr>
              <w:t>d</w:t>
            </w:r>
          </w:p>
        </w:tc>
        <w:tc>
          <w:tcPr>
            <w:tcW w:w="1134" w:type="dxa"/>
            <w:shd w:val="clear" w:color="auto" w:fill="auto"/>
            <w:vAlign w:val="center"/>
          </w:tcPr>
          <w:p w14:paraId="58868A09"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47/61 (77.0)</w:t>
            </w:r>
          </w:p>
        </w:tc>
        <w:tc>
          <w:tcPr>
            <w:tcW w:w="1134" w:type="dxa"/>
            <w:shd w:val="clear" w:color="auto" w:fill="auto"/>
            <w:vAlign w:val="center"/>
          </w:tcPr>
          <w:p w14:paraId="3C6A5C14"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18/28 (64.3)</w:t>
            </w:r>
          </w:p>
        </w:tc>
        <w:tc>
          <w:tcPr>
            <w:tcW w:w="1418" w:type="dxa"/>
            <w:shd w:val="clear" w:color="auto" w:fill="auto"/>
            <w:vAlign w:val="center"/>
          </w:tcPr>
          <w:p w14:paraId="575B38D1"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0.74 (0.44, 1.31)</w:t>
            </w:r>
          </w:p>
        </w:tc>
        <w:tc>
          <w:tcPr>
            <w:tcW w:w="1559" w:type="dxa"/>
            <w:shd w:val="clear" w:color="auto" w:fill="auto"/>
            <w:vAlign w:val="center"/>
          </w:tcPr>
          <w:p w14:paraId="619F83B0"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5.09 (3.61, 5.52)</w:t>
            </w:r>
          </w:p>
        </w:tc>
        <w:tc>
          <w:tcPr>
            <w:tcW w:w="1559" w:type="dxa"/>
            <w:shd w:val="clear" w:color="auto" w:fill="auto"/>
            <w:vAlign w:val="center"/>
          </w:tcPr>
          <w:p w14:paraId="3F8BE801"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2.20 (1.71, 4.83)</w:t>
            </w:r>
          </w:p>
        </w:tc>
      </w:tr>
      <w:tr w:rsidR="007B57FB" w:rsidRPr="007B57FB" w14:paraId="3571E66C" w14:textId="77777777" w:rsidTr="00AE5405">
        <w:tc>
          <w:tcPr>
            <w:tcW w:w="9209" w:type="dxa"/>
            <w:gridSpan w:val="6"/>
            <w:shd w:val="clear" w:color="auto" w:fill="auto"/>
          </w:tcPr>
          <w:p w14:paraId="247B9E3A" w14:textId="77777777" w:rsidR="007B57FB" w:rsidRPr="007B57FB" w:rsidRDefault="007B57FB" w:rsidP="007B57FB">
            <w:pPr>
              <w:spacing w:before="10" w:after="10"/>
              <w:rPr>
                <w:rFonts w:ascii="Arial Narrow" w:hAnsi="Arial Narrow"/>
                <w:b/>
                <w:i/>
                <w:sz w:val="19"/>
                <w:szCs w:val="19"/>
              </w:rPr>
            </w:pPr>
            <w:r w:rsidRPr="007B57FB">
              <w:rPr>
                <w:rFonts w:ascii="Arial Narrow" w:hAnsi="Arial Narrow"/>
                <w:b/>
                <w:i/>
                <w:sz w:val="19"/>
                <w:szCs w:val="19"/>
              </w:rPr>
              <w:t>Overall survival (OS) (final analysis, data cut off 20 March 2020)</w:t>
            </w:r>
          </w:p>
        </w:tc>
      </w:tr>
      <w:tr w:rsidR="007B57FB" w:rsidRPr="007B57FB" w14:paraId="252F1DA8" w14:textId="77777777" w:rsidTr="00AD3D5C">
        <w:tc>
          <w:tcPr>
            <w:tcW w:w="2405" w:type="dxa"/>
            <w:tcBorders>
              <w:bottom w:val="nil"/>
            </w:tcBorders>
            <w:shd w:val="clear" w:color="auto" w:fill="auto"/>
          </w:tcPr>
          <w:p w14:paraId="6DA17E6B" w14:textId="77777777" w:rsidR="007B57FB" w:rsidRPr="007B57FB" w:rsidRDefault="007B57FB" w:rsidP="007B57FB">
            <w:pPr>
              <w:spacing w:before="10" w:after="10"/>
              <w:jc w:val="both"/>
              <w:rPr>
                <w:rFonts w:ascii="Arial Narrow" w:hAnsi="Arial Narrow"/>
                <w:sz w:val="19"/>
                <w:szCs w:val="19"/>
              </w:rPr>
            </w:pPr>
            <w:r w:rsidRPr="007B57FB">
              <w:rPr>
                <w:rFonts w:ascii="Arial Narrow" w:hAnsi="Arial Narrow"/>
                <w:sz w:val="19"/>
                <w:szCs w:val="19"/>
              </w:rPr>
              <w:t>Cohort A (ITT)^ (</w:t>
            </w:r>
            <w:r w:rsidRPr="007B57FB">
              <w:rPr>
                <w:rFonts w:ascii="Arial Narrow" w:hAnsi="Arial Narrow"/>
                <w:i/>
                <w:sz w:val="19"/>
                <w:szCs w:val="19"/>
              </w:rPr>
              <w:t>BRCA1/2, ATM)</w:t>
            </w:r>
          </w:p>
        </w:tc>
        <w:tc>
          <w:tcPr>
            <w:tcW w:w="1134" w:type="dxa"/>
            <w:tcBorders>
              <w:bottom w:val="nil"/>
            </w:tcBorders>
            <w:shd w:val="clear" w:color="auto" w:fill="auto"/>
            <w:vAlign w:val="center"/>
          </w:tcPr>
          <w:p w14:paraId="677BD01F" w14:textId="77777777" w:rsidR="007B57FB" w:rsidRPr="005029BF" w:rsidRDefault="007B57FB" w:rsidP="007B57FB">
            <w:pPr>
              <w:spacing w:before="10" w:after="10"/>
              <w:jc w:val="center"/>
              <w:rPr>
                <w:rFonts w:ascii="Arial Narrow" w:hAnsi="Arial Narrow"/>
                <w:sz w:val="19"/>
                <w:szCs w:val="19"/>
              </w:rPr>
            </w:pPr>
            <w:r w:rsidRPr="005029BF">
              <w:rPr>
                <w:rFonts w:ascii="Arial Narrow" w:hAnsi="Arial Narrow"/>
                <w:sz w:val="19"/>
                <w:szCs w:val="19"/>
              </w:rPr>
              <w:t>91/162 (56.2)</w:t>
            </w:r>
          </w:p>
        </w:tc>
        <w:tc>
          <w:tcPr>
            <w:tcW w:w="1134" w:type="dxa"/>
            <w:tcBorders>
              <w:bottom w:val="nil"/>
            </w:tcBorders>
            <w:shd w:val="clear" w:color="auto" w:fill="auto"/>
            <w:vAlign w:val="center"/>
          </w:tcPr>
          <w:p w14:paraId="13EC1BD7" w14:textId="77777777" w:rsidR="007B57FB" w:rsidRPr="00A84577" w:rsidRDefault="007B57FB" w:rsidP="007B57FB">
            <w:pPr>
              <w:spacing w:before="10" w:after="10"/>
              <w:jc w:val="center"/>
              <w:rPr>
                <w:rFonts w:ascii="Arial Narrow" w:hAnsi="Arial Narrow"/>
                <w:sz w:val="19"/>
                <w:szCs w:val="19"/>
              </w:rPr>
            </w:pPr>
            <w:r w:rsidRPr="00A84577">
              <w:rPr>
                <w:rFonts w:ascii="Arial Narrow" w:hAnsi="Arial Narrow"/>
                <w:sz w:val="19"/>
                <w:szCs w:val="19"/>
              </w:rPr>
              <w:t>57/83 (68.7)</w:t>
            </w:r>
          </w:p>
        </w:tc>
        <w:tc>
          <w:tcPr>
            <w:tcW w:w="1418" w:type="dxa"/>
            <w:tcBorders>
              <w:bottom w:val="nil"/>
            </w:tcBorders>
            <w:shd w:val="clear" w:color="auto" w:fill="auto"/>
            <w:vAlign w:val="center"/>
          </w:tcPr>
          <w:p w14:paraId="63F4D421" w14:textId="77777777" w:rsidR="007B57FB" w:rsidRPr="00A84577" w:rsidRDefault="007B57FB" w:rsidP="007B57FB">
            <w:pPr>
              <w:spacing w:before="10" w:after="10"/>
              <w:jc w:val="center"/>
              <w:rPr>
                <w:rFonts w:ascii="Arial Narrow" w:hAnsi="Arial Narrow"/>
                <w:i/>
                <w:sz w:val="19"/>
                <w:szCs w:val="19"/>
              </w:rPr>
            </w:pPr>
            <w:r w:rsidRPr="00A84577">
              <w:rPr>
                <w:rFonts w:ascii="Arial Narrow" w:hAnsi="Arial Narrow"/>
                <w:b/>
                <w:bCs/>
                <w:sz w:val="19"/>
                <w:szCs w:val="19"/>
                <w:lang w:eastAsia="en-GB"/>
              </w:rPr>
              <w:t>0.69 (0.50, 0.97)</w:t>
            </w:r>
          </w:p>
        </w:tc>
        <w:tc>
          <w:tcPr>
            <w:tcW w:w="1559" w:type="dxa"/>
            <w:tcBorders>
              <w:bottom w:val="nil"/>
            </w:tcBorders>
            <w:shd w:val="clear" w:color="auto" w:fill="auto"/>
            <w:vAlign w:val="center"/>
          </w:tcPr>
          <w:p w14:paraId="427AEBB3" w14:textId="77777777" w:rsidR="007B57FB" w:rsidRPr="007B57FB" w:rsidRDefault="007B57FB" w:rsidP="007B57FB">
            <w:pPr>
              <w:spacing w:before="10" w:after="10"/>
              <w:jc w:val="center"/>
              <w:rPr>
                <w:rFonts w:ascii="Arial Narrow" w:hAnsi="Arial Narrow"/>
                <w:i/>
                <w:sz w:val="19"/>
                <w:szCs w:val="19"/>
              </w:rPr>
            </w:pPr>
            <w:r w:rsidRPr="00A84577">
              <w:rPr>
                <w:rFonts w:ascii="Arial Narrow" w:hAnsi="Arial Narrow"/>
                <w:sz w:val="19"/>
                <w:szCs w:val="19"/>
                <w:lang w:eastAsia="en-GB"/>
              </w:rPr>
              <w:t xml:space="preserve">19.09 </w:t>
            </w:r>
            <w:r w:rsidRPr="00A45BFA">
              <w:rPr>
                <w:rFonts w:ascii="Arial Narrow" w:hAnsi="Arial Narrow"/>
                <w:sz w:val="19"/>
                <w:szCs w:val="19"/>
                <w:lang w:eastAsia="en-GB"/>
              </w:rPr>
              <w:t>(17.35,</w:t>
            </w:r>
            <w:r w:rsidRPr="007B57FB">
              <w:rPr>
                <w:rFonts w:ascii="Arial Narrow" w:hAnsi="Arial Narrow"/>
                <w:sz w:val="19"/>
                <w:szCs w:val="19"/>
                <w:lang w:eastAsia="en-GB"/>
              </w:rPr>
              <w:t xml:space="preserve"> 23.43)</w:t>
            </w:r>
          </w:p>
        </w:tc>
        <w:tc>
          <w:tcPr>
            <w:tcW w:w="1559" w:type="dxa"/>
            <w:tcBorders>
              <w:bottom w:val="nil"/>
            </w:tcBorders>
            <w:shd w:val="clear" w:color="auto" w:fill="auto"/>
            <w:vAlign w:val="center"/>
          </w:tcPr>
          <w:p w14:paraId="00B11995"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sz w:val="19"/>
                <w:szCs w:val="19"/>
                <w:lang w:eastAsia="en-GB"/>
              </w:rPr>
              <w:t>14.69 (11.93, 18.79)</w:t>
            </w:r>
          </w:p>
        </w:tc>
      </w:tr>
      <w:tr w:rsidR="007B57FB" w:rsidRPr="007B57FB" w14:paraId="53A7C615" w14:textId="77777777" w:rsidTr="00AD3D5C">
        <w:tc>
          <w:tcPr>
            <w:tcW w:w="2405" w:type="dxa"/>
            <w:tcBorders>
              <w:top w:val="nil"/>
            </w:tcBorders>
            <w:shd w:val="clear" w:color="auto" w:fill="auto"/>
            <w:vAlign w:val="center"/>
          </w:tcPr>
          <w:p w14:paraId="1B91762C" w14:textId="77777777" w:rsidR="007B57FB" w:rsidRPr="007B57FB" w:rsidRDefault="007B57FB" w:rsidP="007B57FB">
            <w:pPr>
              <w:spacing w:before="10" w:after="10"/>
              <w:jc w:val="right"/>
              <w:rPr>
                <w:rFonts w:ascii="Arial Narrow" w:hAnsi="Arial Narrow"/>
                <w:sz w:val="19"/>
                <w:szCs w:val="19"/>
              </w:rPr>
            </w:pPr>
            <w:r w:rsidRPr="007B57FB">
              <w:rPr>
                <w:rFonts w:ascii="Arial Narrow" w:hAnsi="Arial Narrow"/>
                <w:sz w:val="19"/>
                <w:szCs w:val="19"/>
              </w:rPr>
              <w:t>-</w:t>
            </w:r>
            <w:proofErr w:type="spellStart"/>
            <w:r w:rsidRPr="007B57FB">
              <w:rPr>
                <w:rFonts w:ascii="Arial Narrow" w:hAnsi="Arial Narrow"/>
                <w:sz w:val="19"/>
                <w:szCs w:val="19"/>
              </w:rPr>
              <w:t>Adjusted</w:t>
            </w:r>
            <w:r w:rsidRPr="007B57FB">
              <w:rPr>
                <w:rFonts w:ascii="Arial Narrow" w:hAnsi="Arial Narrow"/>
                <w:sz w:val="19"/>
                <w:szCs w:val="19"/>
                <w:vertAlign w:val="superscript"/>
              </w:rPr>
              <w:t>f</w:t>
            </w:r>
            <w:proofErr w:type="spellEnd"/>
            <w:r w:rsidRPr="007B57FB">
              <w:rPr>
                <w:rFonts w:ascii="Arial Narrow" w:hAnsi="Arial Narrow"/>
                <w:sz w:val="19"/>
                <w:szCs w:val="19"/>
              </w:rPr>
              <w:t xml:space="preserve"> for 67% crossed over</w:t>
            </w:r>
          </w:p>
        </w:tc>
        <w:tc>
          <w:tcPr>
            <w:tcW w:w="1134" w:type="dxa"/>
            <w:tcBorders>
              <w:top w:val="nil"/>
            </w:tcBorders>
            <w:shd w:val="clear" w:color="auto" w:fill="auto"/>
            <w:vAlign w:val="center"/>
          </w:tcPr>
          <w:p w14:paraId="366F478B" w14:textId="77777777" w:rsidR="007B57FB" w:rsidRPr="005029BF" w:rsidRDefault="007B57FB" w:rsidP="007B57FB">
            <w:pPr>
              <w:spacing w:before="10" w:after="10"/>
              <w:jc w:val="center"/>
              <w:rPr>
                <w:rFonts w:ascii="Arial Narrow" w:hAnsi="Arial Narrow"/>
                <w:i/>
                <w:sz w:val="19"/>
                <w:szCs w:val="19"/>
              </w:rPr>
            </w:pPr>
          </w:p>
        </w:tc>
        <w:tc>
          <w:tcPr>
            <w:tcW w:w="1134" w:type="dxa"/>
            <w:tcBorders>
              <w:top w:val="nil"/>
            </w:tcBorders>
            <w:shd w:val="clear" w:color="auto" w:fill="auto"/>
            <w:vAlign w:val="center"/>
          </w:tcPr>
          <w:p w14:paraId="6618819D" w14:textId="77777777" w:rsidR="007B57FB" w:rsidRPr="00A84577" w:rsidRDefault="007B57FB" w:rsidP="007B57FB">
            <w:pPr>
              <w:spacing w:before="10" w:after="10"/>
              <w:jc w:val="center"/>
              <w:rPr>
                <w:rFonts w:ascii="Arial Narrow" w:hAnsi="Arial Narrow"/>
                <w:i/>
                <w:sz w:val="19"/>
                <w:szCs w:val="19"/>
              </w:rPr>
            </w:pPr>
          </w:p>
        </w:tc>
        <w:tc>
          <w:tcPr>
            <w:tcW w:w="1418" w:type="dxa"/>
            <w:tcBorders>
              <w:top w:val="nil"/>
            </w:tcBorders>
            <w:shd w:val="clear" w:color="auto" w:fill="auto"/>
            <w:vAlign w:val="center"/>
          </w:tcPr>
          <w:p w14:paraId="55314B96" w14:textId="77777777" w:rsidR="007B57FB" w:rsidRPr="00A84577" w:rsidRDefault="007B57FB" w:rsidP="007B57FB">
            <w:pPr>
              <w:spacing w:before="10" w:after="10"/>
              <w:jc w:val="center"/>
              <w:rPr>
                <w:rFonts w:ascii="Arial Narrow" w:hAnsi="Arial Narrow"/>
                <w:b/>
                <w:bCs/>
                <w:sz w:val="19"/>
                <w:szCs w:val="19"/>
                <w:lang w:eastAsia="en-GB"/>
              </w:rPr>
            </w:pPr>
            <w:r w:rsidRPr="00A84577">
              <w:rPr>
                <w:rFonts w:ascii="Arial Narrow" w:hAnsi="Arial Narrow"/>
                <w:b/>
                <w:bCs/>
                <w:sz w:val="19"/>
                <w:szCs w:val="19"/>
                <w:lang w:eastAsia="en-GB"/>
              </w:rPr>
              <w:t>0.42 (0.19, 0.91)</w:t>
            </w:r>
          </w:p>
        </w:tc>
        <w:tc>
          <w:tcPr>
            <w:tcW w:w="1559" w:type="dxa"/>
            <w:tcBorders>
              <w:top w:val="nil"/>
            </w:tcBorders>
            <w:shd w:val="clear" w:color="auto" w:fill="auto"/>
            <w:vAlign w:val="center"/>
          </w:tcPr>
          <w:p w14:paraId="5F2D9461" w14:textId="77777777" w:rsidR="007B57FB" w:rsidRPr="007B57FB" w:rsidRDefault="007B57FB" w:rsidP="007B57FB">
            <w:pPr>
              <w:spacing w:before="10" w:after="10"/>
              <w:jc w:val="center"/>
              <w:rPr>
                <w:rFonts w:ascii="Arial Narrow" w:hAnsi="Arial Narrow"/>
                <w:sz w:val="19"/>
                <w:szCs w:val="19"/>
                <w:lang w:eastAsia="en-GB"/>
              </w:rPr>
            </w:pPr>
          </w:p>
        </w:tc>
        <w:tc>
          <w:tcPr>
            <w:tcW w:w="1559" w:type="dxa"/>
            <w:tcBorders>
              <w:top w:val="nil"/>
            </w:tcBorders>
            <w:shd w:val="clear" w:color="auto" w:fill="auto"/>
            <w:vAlign w:val="center"/>
          </w:tcPr>
          <w:p w14:paraId="72A233BD" w14:textId="77777777" w:rsidR="007B57FB" w:rsidRPr="007B57FB" w:rsidRDefault="007B57FB" w:rsidP="007B57FB">
            <w:pPr>
              <w:spacing w:before="10" w:after="10"/>
              <w:jc w:val="center"/>
              <w:rPr>
                <w:rFonts w:ascii="Arial Narrow" w:hAnsi="Arial Narrow"/>
                <w:sz w:val="19"/>
                <w:szCs w:val="19"/>
                <w:vertAlign w:val="superscript"/>
                <w:lang w:eastAsia="en-GB"/>
              </w:rPr>
            </w:pPr>
            <w:r w:rsidRPr="007B57FB">
              <w:rPr>
                <w:rFonts w:ascii="Arial Narrow" w:hAnsi="Arial Narrow"/>
                <w:sz w:val="19"/>
                <w:szCs w:val="19"/>
                <w:lang w:eastAsia="en-GB"/>
              </w:rPr>
              <w:t>11.73 (NR, NR)</w:t>
            </w:r>
          </w:p>
        </w:tc>
      </w:tr>
      <w:tr w:rsidR="007B57FB" w:rsidRPr="007B57FB" w14:paraId="695AABFD" w14:textId="77777777" w:rsidTr="00AE5405">
        <w:tc>
          <w:tcPr>
            <w:tcW w:w="2405" w:type="dxa"/>
            <w:shd w:val="clear" w:color="auto" w:fill="auto"/>
          </w:tcPr>
          <w:p w14:paraId="6666E72C" w14:textId="77777777" w:rsidR="007B57FB" w:rsidRPr="007B57FB" w:rsidRDefault="007B57FB" w:rsidP="007B57FB">
            <w:pPr>
              <w:spacing w:before="10" w:after="10"/>
              <w:jc w:val="both"/>
              <w:rPr>
                <w:rFonts w:ascii="Arial Narrow" w:hAnsi="Arial Narrow"/>
                <w:i/>
                <w:sz w:val="19"/>
                <w:szCs w:val="19"/>
              </w:rPr>
            </w:pPr>
            <w:r w:rsidRPr="007B57FB">
              <w:rPr>
                <w:rFonts w:ascii="Arial Narrow" w:hAnsi="Arial Narrow"/>
                <w:i/>
                <w:sz w:val="19"/>
                <w:szCs w:val="19"/>
              </w:rPr>
              <w:t>Cohort A+B</w:t>
            </w:r>
          </w:p>
        </w:tc>
        <w:tc>
          <w:tcPr>
            <w:tcW w:w="1134" w:type="dxa"/>
            <w:shd w:val="clear" w:color="auto" w:fill="auto"/>
            <w:vAlign w:val="center"/>
          </w:tcPr>
          <w:p w14:paraId="14BF7122"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160/256 (62.5)</w:t>
            </w:r>
          </w:p>
        </w:tc>
        <w:tc>
          <w:tcPr>
            <w:tcW w:w="1134" w:type="dxa"/>
            <w:shd w:val="clear" w:color="auto" w:fill="auto"/>
            <w:vAlign w:val="center"/>
          </w:tcPr>
          <w:p w14:paraId="0F63D948"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88/131 (67.2)</w:t>
            </w:r>
          </w:p>
        </w:tc>
        <w:tc>
          <w:tcPr>
            <w:tcW w:w="1418" w:type="dxa"/>
            <w:shd w:val="clear" w:color="auto" w:fill="auto"/>
            <w:vAlign w:val="center"/>
          </w:tcPr>
          <w:p w14:paraId="04934DEA"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0.79 (0.61, 1.03)</w:t>
            </w:r>
          </w:p>
        </w:tc>
        <w:tc>
          <w:tcPr>
            <w:tcW w:w="1559" w:type="dxa"/>
            <w:shd w:val="clear" w:color="auto" w:fill="auto"/>
            <w:vAlign w:val="center"/>
          </w:tcPr>
          <w:p w14:paraId="2220CAAC"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17.31 (15.47, 18.63)</w:t>
            </w:r>
          </w:p>
        </w:tc>
        <w:tc>
          <w:tcPr>
            <w:tcW w:w="1559" w:type="dxa"/>
            <w:shd w:val="clear" w:color="auto" w:fill="auto"/>
            <w:vAlign w:val="center"/>
          </w:tcPr>
          <w:p w14:paraId="5F0BF8F5"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14.00 (11.47, 17.08)</w:t>
            </w:r>
          </w:p>
        </w:tc>
      </w:tr>
      <w:tr w:rsidR="007B57FB" w:rsidRPr="007B57FB" w14:paraId="4D0D0DF8" w14:textId="77777777" w:rsidTr="00AD3D5C">
        <w:tc>
          <w:tcPr>
            <w:tcW w:w="2405" w:type="dxa"/>
            <w:tcBorders>
              <w:bottom w:val="nil"/>
            </w:tcBorders>
            <w:shd w:val="clear" w:color="auto" w:fill="auto"/>
          </w:tcPr>
          <w:p w14:paraId="5684F2B5" w14:textId="77777777" w:rsidR="007B57FB" w:rsidRPr="007B57FB" w:rsidRDefault="007B57FB" w:rsidP="007B57FB">
            <w:pPr>
              <w:spacing w:before="10" w:after="10"/>
              <w:ind w:left="107"/>
              <w:jc w:val="both"/>
              <w:rPr>
                <w:rFonts w:ascii="Arial Narrow" w:hAnsi="Arial Narrow"/>
                <w:sz w:val="19"/>
                <w:szCs w:val="19"/>
              </w:rPr>
            </w:pPr>
            <w:r w:rsidRPr="007B57FB">
              <w:rPr>
                <w:rFonts w:ascii="Arial Narrow" w:hAnsi="Arial Narrow"/>
                <w:sz w:val="19"/>
                <w:szCs w:val="19"/>
              </w:rPr>
              <w:t>Cohort A + B (</w:t>
            </w:r>
            <w:r w:rsidRPr="007B57FB">
              <w:rPr>
                <w:rFonts w:ascii="Arial Narrow" w:hAnsi="Arial Narrow"/>
                <w:i/>
                <w:sz w:val="19"/>
                <w:szCs w:val="19"/>
              </w:rPr>
              <w:t>BRCA1/2)</w:t>
            </w:r>
          </w:p>
        </w:tc>
        <w:tc>
          <w:tcPr>
            <w:tcW w:w="1134" w:type="dxa"/>
            <w:tcBorders>
              <w:bottom w:val="nil"/>
            </w:tcBorders>
            <w:shd w:val="clear" w:color="auto" w:fill="auto"/>
            <w:vAlign w:val="center"/>
          </w:tcPr>
          <w:p w14:paraId="455FF5E0" w14:textId="77777777" w:rsidR="007B57FB" w:rsidRPr="007B57FB" w:rsidRDefault="007B57FB" w:rsidP="007B57FB">
            <w:pPr>
              <w:spacing w:before="10" w:after="10"/>
              <w:jc w:val="center"/>
              <w:rPr>
                <w:rFonts w:ascii="Arial Narrow" w:hAnsi="Arial Narrow"/>
                <w:i/>
                <w:sz w:val="19"/>
                <w:szCs w:val="19"/>
                <w:vertAlign w:val="superscript"/>
              </w:rPr>
            </w:pPr>
            <w:r w:rsidRPr="007B57FB">
              <w:rPr>
                <w:rFonts w:ascii="Arial Narrow" w:hAnsi="Arial Narrow"/>
                <w:i/>
                <w:sz w:val="19"/>
                <w:szCs w:val="19"/>
              </w:rPr>
              <w:t>53/102 (52.0)</w:t>
            </w:r>
            <w:r w:rsidRPr="007B57FB">
              <w:rPr>
                <w:rFonts w:ascii="Arial Narrow" w:hAnsi="Arial Narrow"/>
                <w:i/>
                <w:sz w:val="19"/>
                <w:szCs w:val="19"/>
                <w:vertAlign w:val="superscript"/>
              </w:rPr>
              <w:t>e</w:t>
            </w:r>
          </w:p>
        </w:tc>
        <w:tc>
          <w:tcPr>
            <w:tcW w:w="1134" w:type="dxa"/>
            <w:tcBorders>
              <w:bottom w:val="nil"/>
            </w:tcBorders>
            <w:shd w:val="clear" w:color="auto" w:fill="auto"/>
            <w:vAlign w:val="center"/>
          </w:tcPr>
          <w:p w14:paraId="0D687057" w14:textId="77777777" w:rsidR="007B57FB" w:rsidRPr="007B57FB" w:rsidRDefault="007B57FB" w:rsidP="007B57FB">
            <w:pPr>
              <w:spacing w:before="10" w:after="10"/>
              <w:jc w:val="center"/>
              <w:rPr>
                <w:rFonts w:ascii="Arial Narrow" w:hAnsi="Arial Narrow"/>
                <w:i/>
                <w:sz w:val="19"/>
                <w:szCs w:val="19"/>
                <w:vertAlign w:val="superscript"/>
              </w:rPr>
            </w:pPr>
            <w:r w:rsidRPr="007B57FB">
              <w:rPr>
                <w:rFonts w:ascii="Arial Narrow" w:hAnsi="Arial Narrow"/>
                <w:i/>
                <w:sz w:val="19"/>
                <w:szCs w:val="19"/>
              </w:rPr>
              <w:t>41/58 (70.7)</w:t>
            </w:r>
            <w:r w:rsidRPr="007B57FB">
              <w:rPr>
                <w:rFonts w:ascii="Arial Narrow" w:hAnsi="Arial Narrow"/>
                <w:i/>
                <w:sz w:val="19"/>
                <w:szCs w:val="19"/>
                <w:vertAlign w:val="superscript"/>
              </w:rPr>
              <w:t>e</w:t>
            </w:r>
          </w:p>
        </w:tc>
        <w:tc>
          <w:tcPr>
            <w:tcW w:w="1418" w:type="dxa"/>
            <w:tcBorders>
              <w:bottom w:val="nil"/>
            </w:tcBorders>
            <w:shd w:val="clear" w:color="auto" w:fill="auto"/>
            <w:vAlign w:val="center"/>
          </w:tcPr>
          <w:p w14:paraId="7AAA6489" w14:textId="77777777" w:rsidR="007B57FB" w:rsidRPr="005029BF" w:rsidRDefault="007B57FB" w:rsidP="007B57FB">
            <w:pPr>
              <w:spacing w:before="10" w:after="10"/>
              <w:jc w:val="center"/>
              <w:rPr>
                <w:rFonts w:ascii="Arial Narrow" w:hAnsi="Arial Narrow"/>
                <w:i/>
                <w:sz w:val="19"/>
                <w:szCs w:val="19"/>
              </w:rPr>
            </w:pPr>
            <w:r w:rsidRPr="005029BF">
              <w:rPr>
                <w:rFonts w:ascii="Arial Narrow" w:eastAsia="TimesNewRoman" w:hAnsi="Arial Narrow"/>
                <w:b/>
                <w:sz w:val="19"/>
                <w:szCs w:val="19"/>
                <w:lang w:eastAsia="en-GB"/>
              </w:rPr>
              <w:t>0.63 (0.42, 0.95)</w:t>
            </w:r>
          </w:p>
        </w:tc>
        <w:tc>
          <w:tcPr>
            <w:tcW w:w="1559" w:type="dxa"/>
            <w:tcBorders>
              <w:bottom w:val="nil"/>
            </w:tcBorders>
            <w:shd w:val="clear" w:color="auto" w:fill="auto"/>
            <w:vAlign w:val="center"/>
          </w:tcPr>
          <w:p w14:paraId="75DFDF0A" w14:textId="77777777" w:rsidR="007B57FB" w:rsidRPr="00A84577" w:rsidRDefault="007B57FB" w:rsidP="007B57FB">
            <w:pPr>
              <w:spacing w:before="10" w:after="10"/>
              <w:jc w:val="center"/>
              <w:rPr>
                <w:rFonts w:ascii="Arial Narrow" w:hAnsi="Arial Narrow"/>
                <w:sz w:val="19"/>
                <w:szCs w:val="19"/>
              </w:rPr>
            </w:pPr>
            <w:r w:rsidRPr="00A84577">
              <w:rPr>
                <w:rFonts w:ascii="Arial Narrow" w:hAnsi="Arial Narrow"/>
                <w:sz w:val="19"/>
                <w:szCs w:val="19"/>
              </w:rPr>
              <w:t>20.11 (17.35, 26.81)</w:t>
            </w:r>
          </w:p>
        </w:tc>
        <w:tc>
          <w:tcPr>
            <w:tcW w:w="1559" w:type="dxa"/>
            <w:tcBorders>
              <w:bottom w:val="nil"/>
            </w:tcBorders>
            <w:shd w:val="clear" w:color="auto" w:fill="auto"/>
            <w:vAlign w:val="center"/>
          </w:tcPr>
          <w:p w14:paraId="287C8BD4" w14:textId="77777777" w:rsidR="007B57FB" w:rsidRPr="007B57FB" w:rsidRDefault="007B57FB" w:rsidP="007B57FB">
            <w:pPr>
              <w:spacing w:before="10" w:after="10"/>
              <w:jc w:val="center"/>
              <w:rPr>
                <w:rFonts w:ascii="Arial Narrow" w:hAnsi="Arial Narrow"/>
                <w:sz w:val="19"/>
                <w:szCs w:val="19"/>
              </w:rPr>
            </w:pPr>
            <w:r w:rsidRPr="00A84577">
              <w:rPr>
                <w:rFonts w:ascii="Arial Narrow" w:hAnsi="Arial Narrow"/>
                <w:sz w:val="19"/>
                <w:szCs w:val="19"/>
              </w:rPr>
              <w:t xml:space="preserve">14.44 (10.71, </w:t>
            </w:r>
            <w:r w:rsidRPr="00A45BFA">
              <w:rPr>
                <w:rFonts w:ascii="Arial Narrow" w:hAnsi="Arial Narrow"/>
                <w:sz w:val="19"/>
                <w:szCs w:val="19"/>
              </w:rPr>
              <w:t>18.89)</w:t>
            </w:r>
          </w:p>
        </w:tc>
      </w:tr>
      <w:tr w:rsidR="007B57FB" w:rsidRPr="007B57FB" w14:paraId="0FBF18AE" w14:textId="77777777" w:rsidTr="00AE5405">
        <w:tc>
          <w:tcPr>
            <w:tcW w:w="2405" w:type="dxa"/>
            <w:shd w:val="clear" w:color="auto" w:fill="auto"/>
          </w:tcPr>
          <w:p w14:paraId="08DDC7A7" w14:textId="77777777" w:rsidR="007B57FB" w:rsidRPr="007B57FB" w:rsidRDefault="007B57FB" w:rsidP="007B57FB">
            <w:pPr>
              <w:spacing w:before="10" w:after="10"/>
              <w:ind w:left="107"/>
              <w:jc w:val="both"/>
              <w:rPr>
                <w:rFonts w:ascii="Arial Narrow" w:hAnsi="Arial Narrow"/>
                <w:i/>
                <w:sz w:val="19"/>
                <w:szCs w:val="19"/>
                <w:vertAlign w:val="superscript"/>
              </w:rPr>
            </w:pPr>
            <w:r w:rsidRPr="007B57FB">
              <w:rPr>
                <w:rFonts w:ascii="Arial Narrow" w:hAnsi="Arial Narrow"/>
                <w:i/>
                <w:sz w:val="19"/>
                <w:szCs w:val="19"/>
              </w:rPr>
              <w:t>Cohort A + B (BRCA1/2, ATM)</w:t>
            </w:r>
            <w:r w:rsidRPr="007B57FB">
              <w:rPr>
                <w:rFonts w:ascii="Arial Narrow" w:hAnsi="Arial Narrow"/>
                <w:i/>
                <w:sz w:val="19"/>
                <w:szCs w:val="19"/>
                <w:vertAlign w:val="superscript"/>
              </w:rPr>
              <w:t>b</w:t>
            </w:r>
          </w:p>
        </w:tc>
        <w:tc>
          <w:tcPr>
            <w:tcW w:w="1134" w:type="dxa"/>
            <w:shd w:val="clear" w:color="auto" w:fill="auto"/>
            <w:vAlign w:val="center"/>
          </w:tcPr>
          <w:p w14:paraId="3F40FC01"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93/165 (56.4)</w:t>
            </w:r>
          </w:p>
        </w:tc>
        <w:tc>
          <w:tcPr>
            <w:tcW w:w="1134" w:type="dxa"/>
            <w:shd w:val="clear" w:color="auto" w:fill="auto"/>
            <w:vAlign w:val="center"/>
          </w:tcPr>
          <w:p w14:paraId="3B107DE4"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58/84 (69.0)</w:t>
            </w:r>
          </w:p>
        </w:tc>
        <w:tc>
          <w:tcPr>
            <w:tcW w:w="1418" w:type="dxa"/>
            <w:shd w:val="clear" w:color="auto" w:fill="auto"/>
            <w:vAlign w:val="center"/>
          </w:tcPr>
          <w:p w14:paraId="02BA7145" w14:textId="77777777" w:rsidR="007B57FB" w:rsidRPr="007B57FB" w:rsidRDefault="007B57FB" w:rsidP="007B57FB">
            <w:pPr>
              <w:spacing w:before="10" w:after="10"/>
              <w:jc w:val="center"/>
              <w:rPr>
                <w:rFonts w:ascii="Arial Narrow" w:hAnsi="Arial Narrow"/>
                <w:b/>
                <w:i/>
                <w:sz w:val="19"/>
                <w:szCs w:val="19"/>
              </w:rPr>
            </w:pPr>
            <w:r w:rsidRPr="007B57FB">
              <w:rPr>
                <w:rFonts w:ascii="Arial Narrow" w:hAnsi="Arial Narrow"/>
                <w:b/>
                <w:i/>
                <w:sz w:val="19"/>
                <w:szCs w:val="19"/>
              </w:rPr>
              <w:t>0.70 (0.51, 0.98)</w:t>
            </w:r>
          </w:p>
        </w:tc>
        <w:tc>
          <w:tcPr>
            <w:tcW w:w="1559" w:type="dxa"/>
            <w:shd w:val="clear" w:color="auto" w:fill="auto"/>
            <w:vAlign w:val="center"/>
          </w:tcPr>
          <w:p w14:paraId="45980496"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19.09 (17.35, 23.43)</w:t>
            </w:r>
          </w:p>
        </w:tc>
        <w:tc>
          <w:tcPr>
            <w:tcW w:w="1559" w:type="dxa"/>
            <w:shd w:val="clear" w:color="auto" w:fill="auto"/>
            <w:vAlign w:val="center"/>
          </w:tcPr>
          <w:p w14:paraId="73F4C1E3"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14.62 (11.93, 18.79)</w:t>
            </w:r>
          </w:p>
        </w:tc>
      </w:tr>
      <w:tr w:rsidR="007B57FB" w:rsidRPr="007B57FB" w14:paraId="243D66D1" w14:textId="77777777" w:rsidTr="00AE5405">
        <w:tc>
          <w:tcPr>
            <w:tcW w:w="2405" w:type="dxa"/>
            <w:shd w:val="clear" w:color="auto" w:fill="auto"/>
          </w:tcPr>
          <w:p w14:paraId="31227E63" w14:textId="77777777" w:rsidR="007B57FB" w:rsidRPr="007B57FB" w:rsidRDefault="007B57FB" w:rsidP="007B57FB">
            <w:pPr>
              <w:spacing w:before="10" w:after="10"/>
              <w:ind w:left="107"/>
              <w:jc w:val="both"/>
              <w:rPr>
                <w:rFonts w:ascii="Arial Narrow" w:hAnsi="Arial Narrow"/>
                <w:i/>
                <w:sz w:val="19"/>
                <w:szCs w:val="19"/>
                <w:vertAlign w:val="superscript"/>
              </w:rPr>
            </w:pPr>
            <w:r w:rsidRPr="007B57FB">
              <w:rPr>
                <w:rFonts w:ascii="Arial Narrow" w:hAnsi="Arial Narrow"/>
                <w:i/>
                <w:sz w:val="19"/>
                <w:szCs w:val="19"/>
              </w:rPr>
              <w:t>Non-BRCA pathogenic variants</w:t>
            </w:r>
          </w:p>
        </w:tc>
        <w:tc>
          <w:tcPr>
            <w:tcW w:w="1134" w:type="dxa"/>
            <w:shd w:val="clear" w:color="auto" w:fill="auto"/>
            <w:vAlign w:val="center"/>
          </w:tcPr>
          <w:p w14:paraId="13577821"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107/154 (69.5)</w:t>
            </w:r>
          </w:p>
        </w:tc>
        <w:tc>
          <w:tcPr>
            <w:tcW w:w="1134" w:type="dxa"/>
            <w:shd w:val="clear" w:color="auto" w:fill="auto"/>
            <w:vAlign w:val="center"/>
          </w:tcPr>
          <w:p w14:paraId="1DA84D80"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47/73 (64.4)</w:t>
            </w:r>
          </w:p>
        </w:tc>
        <w:tc>
          <w:tcPr>
            <w:tcW w:w="1418" w:type="dxa"/>
            <w:shd w:val="clear" w:color="auto" w:fill="auto"/>
            <w:vAlign w:val="center"/>
          </w:tcPr>
          <w:p w14:paraId="5CB1F43A"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0.95 (0.68, 1.34)</w:t>
            </w:r>
          </w:p>
        </w:tc>
        <w:tc>
          <w:tcPr>
            <w:tcW w:w="1559" w:type="dxa"/>
            <w:shd w:val="clear" w:color="auto" w:fill="auto"/>
            <w:vAlign w:val="center"/>
          </w:tcPr>
          <w:p w14:paraId="31F32EE9"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15.80 (13.86, 17.31)</w:t>
            </w:r>
          </w:p>
        </w:tc>
        <w:tc>
          <w:tcPr>
            <w:tcW w:w="1559" w:type="dxa"/>
            <w:shd w:val="clear" w:color="auto" w:fill="auto"/>
            <w:vAlign w:val="center"/>
          </w:tcPr>
          <w:p w14:paraId="595B7251"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13.34 (11.17, 17.74)</w:t>
            </w:r>
          </w:p>
        </w:tc>
      </w:tr>
      <w:tr w:rsidR="007B57FB" w:rsidRPr="007B57FB" w14:paraId="09799473" w14:textId="77777777" w:rsidTr="00AE5405">
        <w:tc>
          <w:tcPr>
            <w:tcW w:w="2405" w:type="dxa"/>
            <w:tcBorders>
              <w:bottom w:val="nil"/>
            </w:tcBorders>
            <w:shd w:val="clear" w:color="auto" w:fill="auto"/>
          </w:tcPr>
          <w:p w14:paraId="629E2E26" w14:textId="77777777" w:rsidR="007B57FB" w:rsidRPr="007B57FB" w:rsidRDefault="007B57FB" w:rsidP="007B57FB">
            <w:pPr>
              <w:spacing w:before="10" w:after="10"/>
              <w:ind w:left="107"/>
              <w:jc w:val="both"/>
              <w:rPr>
                <w:rFonts w:ascii="Arial Narrow" w:hAnsi="Arial Narrow"/>
                <w:i/>
                <w:sz w:val="19"/>
                <w:szCs w:val="19"/>
                <w:vertAlign w:val="superscript"/>
              </w:rPr>
            </w:pPr>
            <w:r w:rsidRPr="007B57FB">
              <w:rPr>
                <w:rFonts w:ascii="Arial Narrow" w:hAnsi="Arial Narrow"/>
                <w:i/>
                <w:sz w:val="19"/>
                <w:szCs w:val="19"/>
              </w:rPr>
              <w:t xml:space="preserve">Cohort B </w:t>
            </w:r>
            <w:proofErr w:type="spellStart"/>
            <w:r w:rsidRPr="007B57FB">
              <w:rPr>
                <w:rFonts w:ascii="Arial Narrow" w:hAnsi="Arial Narrow"/>
                <w:i/>
                <w:sz w:val="19"/>
                <w:szCs w:val="19"/>
              </w:rPr>
              <w:t>genes</w:t>
            </w:r>
            <w:r w:rsidRPr="007B57FB">
              <w:rPr>
                <w:rFonts w:ascii="Arial Narrow" w:hAnsi="Arial Narrow"/>
                <w:i/>
                <w:sz w:val="19"/>
                <w:szCs w:val="19"/>
                <w:vertAlign w:val="superscript"/>
              </w:rPr>
              <w:t>c</w:t>
            </w:r>
            <w:proofErr w:type="spellEnd"/>
          </w:p>
        </w:tc>
        <w:tc>
          <w:tcPr>
            <w:tcW w:w="1134" w:type="dxa"/>
            <w:tcBorders>
              <w:bottom w:val="nil"/>
            </w:tcBorders>
            <w:shd w:val="clear" w:color="auto" w:fill="auto"/>
            <w:vAlign w:val="center"/>
          </w:tcPr>
          <w:p w14:paraId="695D59EB"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69/94 (73.4)</w:t>
            </w:r>
          </w:p>
        </w:tc>
        <w:tc>
          <w:tcPr>
            <w:tcW w:w="1134" w:type="dxa"/>
            <w:tcBorders>
              <w:bottom w:val="nil"/>
            </w:tcBorders>
            <w:shd w:val="clear" w:color="auto" w:fill="auto"/>
            <w:vAlign w:val="center"/>
          </w:tcPr>
          <w:p w14:paraId="3D4F7EB6"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31/48 (64.6)</w:t>
            </w:r>
          </w:p>
        </w:tc>
        <w:tc>
          <w:tcPr>
            <w:tcW w:w="1418" w:type="dxa"/>
            <w:tcBorders>
              <w:bottom w:val="nil"/>
            </w:tcBorders>
            <w:shd w:val="clear" w:color="auto" w:fill="auto"/>
            <w:vAlign w:val="center"/>
          </w:tcPr>
          <w:p w14:paraId="2DBCED00"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0.96 (0.63, 1.49)</w:t>
            </w:r>
          </w:p>
        </w:tc>
        <w:tc>
          <w:tcPr>
            <w:tcW w:w="1559" w:type="dxa"/>
            <w:tcBorders>
              <w:bottom w:val="nil"/>
            </w:tcBorders>
            <w:shd w:val="clear" w:color="auto" w:fill="auto"/>
            <w:vAlign w:val="center"/>
          </w:tcPr>
          <w:p w14:paraId="43DCED85"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14.1 (11.1, 15.9)</w:t>
            </w:r>
          </w:p>
        </w:tc>
        <w:tc>
          <w:tcPr>
            <w:tcW w:w="1559" w:type="dxa"/>
            <w:tcBorders>
              <w:bottom w:val="nil"/>
            </w:tcBorders>
            <w:shd w:val="clear" w:color="auto" w:fill="auto"/>
            <w:vAlign w:val="center"/>
          </w:tcPr>
          <w:p w14:paraId="0D90DCF6"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11.5 (8.2, 17.1)</w:t>
            </w:r>
          </w:p>
        </w:tc>
      </w:tr>
      <w:tr w:rsidR="007B57FB" w:rsidRPr="007B57FB" w14:paraId="7EB7D9E6" w14:textId="77777777" w:rsidTr="00AE5405">
        <w:tc>
          <w:tcPr>
            <w:tcW w:w="2405" w:type="dxa"/>
            <w:tcBorders>
              <w:top w:val="nil"/>
            </w:tcBorders>
            <w:shd w:val="clear" w:color="auto" w:fill="auto"/>
          </w:tcPr>
          <w:p w14:paraId="1840B368" w14:textId="77777777" w:rsidR="007B57FB" w:rsidRPr="007B57FB" w:rsidRDefault="007B57FB" w:rsidP="007B57FB">
            <w:pPr>
              <w:spacing w:before="10" w:after="10"/>
              <w:ind w:left="107"/>
              <w:jc w:val="right"/>
              <w:rPr>
                <w:rFonts w:ascii="Arial Narrow" w:hAnsi="Arial Narrow"/>
                <w:i/>
                <w:sz w:val="19"/>
                <w:szCs w:val="19"/>
              </w:rPr>
            </w:pPr>
            <w:r w:rsidRPr="007B57FB">
              <w:rPr>
                <w:rFonts w:ascii="Arial Narrow" w:hAnsi="Arial Narrow"/>
                <w:sz w:val="19"/>
                <w:szCs w:val="19"/>
              </w:rPr>
              <w:t>-</w:t>
            </w:r>
            <w:proofErr w:type="spellStart"/>
            <w:r w:rsidRPr="007B57FB">
              <w:rPr>
                <w:rFonts w:ascii="Arial Narrow" w:hAnsi="Arial Narrow"/>
                <w:sz w:val="19"/>
                <w:szCs w:val="19"/>
              </w:rPr>
              <w:t>Adjusted</w:t>
            </w:r>
            <w:r w:rsidRPr="007B57FB">
              <w:rPr>
                <w:rFonts w:ascii="Arial Narrow" w:hAnsi="Arial Narrow"/>
                <w:sz w:val="19"/>
                <w:szCs w:val="19"/>
                <w:vertAlign w:val="superscript"/>
              </w:rPr>
              <w:t>f</w:t>
            </w:r>
            <w:proofErr w:type="spellEnd"/>
            <w:r w:rsidRPr="007B57FB">
              <w:rPr>
                <w:rFonts w:ascii="Arial Narrow" w:hAnsi="Arial Narrow"/>
                <w:sz w:val="19"/>
                <w:szCs w:val="19"/>
              </w:rPr>
              <w:t xml:space="preserve"> for 63% crossed over</w:t>
            </w:r>
          </w:p>
        </w:tc>
        <w:tc>
          <w:tcPr>
            <w:tcW w:w="1134" w:type="dxa"/>
            <w:tcBorders>
              <w:top w:val="nil"/>
            </w:tcBorders>
            <w:shd w:val="clear" w:color="auto" w:fill="auto"/>
            <w:vAlign w:val="center"/>
          </w:tcPr>
          <w:p w14:paraId="052F5608" w14:textId="77777777" w:rsidR="007B57FB" w:rsidRPr="007B57FB" w:rsidRDefault="007B57FB" w:rsidP="007B57FB">
            <w:pPr>
              <w:spacing w:before="10" w:after="10"/>
              <w:jc w:val="center"/>
              <w:rPr>
                <w:rFonts w:ascii="Arial Narrow" w:hAnsi="Arial Narrow"/>
                <w:i/>
                <w:sz w:val="19"/>
                <w:szCs w:val="19"/>
              </w:rPr>
            </w:pPr>
          </w:p>
        </w:tc>
        <w:tc>
          <w:tcPr>
            <w:tcW w:w="1134" w:type="dxa"/>
            <w:tcBorders>
              <w:top w:val="nil"/>
            </w:tcBorders>
            <w:shd w:val="clear" w:color="auto" w:fill="auto"/>
            <w:vAlign w:val="center"/>
          </w:tcPr>
          <w:p w14:paraId="04041BB2" w14:textId="02672DC1" w:rsidR="007B57FB" w:rsidRPr="007B57FB" w:rsidRDefault="007B57FB" w:rsidP="007B57FB">
            <w:pPr>
              <w:spacing w:before="10" w:after="10"/>
              <w:jc w:val="center"/>
              <w:rPr>
                <w:rFonts w:ascii="Arial Narrow" w:hAnsi="Arial Narrow"/>
                <w:i/>
                <w:sz w:val="19"/>
                <w:szCs w:val="19"/>
              </w:rPr>
            </w:pPr>
          </w:p>
        </w:tc>
        <w:tc>
          <w:tcPr>
            <w:tcW w:w="1418" w:type="dxa"/>
            <w:tcBorders>
              <w:top w:val="nil"/>
            </w:tcBorders>
            <w:shd w:val="clear" w:color="auto" w:fill="auto"/>
            <w:vAlign w:val="center"/>
          </w:tcPr>
          <w:p w14:paraId="2CA72447"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0.83 (0.11, 5.98)</w:t>
            </w:r>
          </w:p>
        </w:tc>
        <w:tc>
          <w:tcPr>
            <w:tcW w:w="1559" w:type="dxa"/>
            <w:tcBorders>
              <w:top w:val="nil"/>
            </w:tcBorders>
            <w:shd w:val="clear" w:color="auto" w:fill="auto"/>
            <w:vAlign w:val="center"/>
          </w:tcPr>
          <w:p w14:paraId="23277C81" w14:textId="77777777" w:rsidR="007B57FB" w:rsidRPr="007B57FB" w:rsidRDefault="007B57FB" w:rsidP="007B57FB">
            <w:pPr>
              <w:spacing w:before="10" w:after="10"/>
              <w:jc w:val="center"/>
              <w:rPr>
                <w:rFonts w:ascii="Arial Narrow" w:hAnsi="Arial Narrow"/>
                <w:i/>
                <w:sz w:val="19"/>
                <w:szCs w:val="19"/>
              </w:rPr>
            </w:pPr>
          </w:p>
        </w:tc>
        <w:tc>
          <w:tcPr>
            <w:tcW w:w="1559" w:type="dxa"/>
            <w:tcBorders>
              <w:top w:val="nil"/>
            </w:tcBorders>
            <w:shd w:val="clear" w:color="auto" w:fill="auto"/>
            <w:vAlign w:val="center"/>
          </w:tcPr>
          <w:p w14:paraId="3CE029FE" w14:textId="77777777" w:rsidR="007B57FB" w:rsidRPr="007B57FB" w:rsidRDefault="007B57FB" w:rsidP="007B57FB">
            <w:pPr>
              <w:spacing w:before="10" w:after="10"/>
              <w:jc w:val="center"/>
              <w:rPr>
                <w:rFonts w:ascii="Arial Narrow" w:hAnsi="Arial Narrow"/>
                <w:i/>
                <w:sz w:val="19"/>
                <w:szCs w:val="19"/>
              </w:rPr>
            </w:pPr>
          </w:p>
        </w:tc>
      </w:tr>
      <w:tr w:rsidR="007B57FB" w:rsidRPr="007B57FB" w14:paraId="7BACBFE4" w14:textId="77777777" w:rsidTr="00AE5405">
        <w:tc>
          <w:tcPr>
            <w:tcW w:w="2405" w:type="dxa"/>
            <w:shd w:val="clear" w:color="auto" w:fill="auto"/>
          </w:tcPr>
          <w:p w14:paraId="6E2F4A95" w14:textId="77777777" w:rsidR="007B57FB" w:rsidRPr="007B57FB" w:rsidRDefault="007B57FB" w:rsidP="007B57FB">
            <w:pPr>
              <w:spacing w:before="10" w:after="10"/>
              <w:ind w:left="107"/>
              <w:jc w:val="both"/>
              <w:rPr>
                <w:rFonts w:ascii="Arial Narrow" w:hAnsi="Arial Narrow"/>
                <w:i/>
                <w:sz w:val="19"/>
                <w:szCs w:val="19"/>
              </w:rPr>
            </w:pPr>
            <w:r w:rsidRPr="007B57FB">
              <w:rPr>
                <w:rFonts w:ascii="Arial Narrow" w:hAnsi="Arial Narrow"/>
                <w:i/>
                <w:sz w:val="19"/>
                <w:szCs w:val="19"/>
              </w:rPr>
              <w:t>Any single HRR gene</w:t>
            </w:r>
          </w:p>
        </w:tc>
        <w:tc>
          <w:tcPr>
            <w:tcW w:w="1134" w:type="dxa"/>
            <w:shd w:val="clear" w:color="auto" w:fill="auto"/>
            <w:vAlign w:val="center"/>
          </w:tcPr>
          <w:p w14:paraId="274D240D"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NR</w:t>
            </w:r>
          </w:p>
        </w:tc>
        <w:tc>
          <w:tcPr>
            <w:tcW w:w="1134" w:type="dxa"/>
            <w:shd w:val="clear" w:color="auto" w:fill="auto"/>
            <w:vAlign w:val="center"/>
          </w:tcPr>
          <w:p w14:paraId="556CCC2E"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NR</w:t>
            </w:r>
          </w:p>
        </w:tc>
        <w:tc>
          <w:tcPr>
            <w:tcW w:w="1418" w:type="dxa"/>
            <w:shd w:val="clear" w:color="auto" w:fill="auto"/>
            <w:vAlign w:val="center"/>
          </w:tcPr>
          <w:p w14:paraId="49E1E929"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NR</w:t>
            </w:r>
          </w:p>
        </w:tc>
        <w:tc>
          <w:tcPr>
            <w:tcW w:w="1559" w:type="dxa"/>
            <w:shd w:val="clear" w:color="auto" w:fill="auto"/>
            <w:vAlign w:val="center"/>
          </w:tcPr>
          <w:p w14:paraId="7ABAABAC"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NR</w:t>
            </w:r>
          </w:p>
        </w:tc>
        <w:tc>
          <w:tcPr>
            <w:tcW w:w="1559" w:type="dxa"/>
            <w:shd w:val="clear" w:color="auto" w:fill="auto"/>
            <w:vAlign w:val="center"/>
          </w:tcPr>
          <w:p w14:paraId="6658E742"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NR</w:t>
            </w:r>
          </w:p>
        </w:tc>
      </w:tr>
      <w:tr w:rsidR="007B57FB" w:rsidRPr="007B57FB" w14:paraId="085B232F" w14:textId="77777777" w:rsidTr="00AE5405">
        <w:tc>
          <w:tcPr>
            <w:tcW w:w="2405" w:type="dxa"/>
            <w:shd w:val="clear" w:color="auto" w:fill="auto"/>
          </w:tcPr>
          <w:p w14:paraId="2D4A83C4" w14:textId="77777777" w:rsidR="007B57FB" w:rsidRPr="007B57FB" w:rsidRDefault="007B57FB" w:rsidP="007B57FB">
            <w:pPr>
              <w:spacing w:before="10" w:after="10"/>
              <w:jc w:val="right"/>
              <w:rPr>
                <w:rFonts w:ascii="Arial Narrow" w:hAnsi="Arial Narrow"/>
                <w:i/>
                <w:sz w:val="19"/>
                <w:szCs w:val="19"/>
                <w:vertAlign w:val="superscript"/>
              </w:rPr>
            </w:pPr>
            <w:r w:rsidRPr="007B57FB">
              <w:rPr>
                <w:rFonts w:ascii="Arial Narrow" w:hAnsi="Arial Narrow"/>
                <w:i/>
                <w:sz w:val="19"/>
                <w:szCs w:val="19"/>
              </w:rPr>
              <w:t>BRCA1</w:t>
            </w:r>
            <w:r w:rsidRPr="007B57FB">
              <w:rPr>
                <w:rFonts w:ascii="Arial Narrow" w:hAnsi="Arial Narrow"/>
                <w:i/>
                <w:sz w:val="19"/>
                <w:szCs w:val="19"/>
                <w:vertAlign w:val="superscript"/>
              </w:rPr>
              <w:t>d</w:t>
            </w:r>
          </w:p>
        </w:tc>
        <w:tc>
          <w:tcPr>
            <w:tcW w:w="1134" w:type="dxa"/>
            <w:shd w:val="clear" w:color="auto" w:fill="auto"/>
            <w:vAlign w:val="center"/>
          </w:tcPr>
          <w:p w14:paraId="1EADCC73"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5/8 (62.5)</w:t>
            </w:r>
          </w:p>
        </w:tc>
        <w:tc>
          <w:tcPr>
            <w:tcW w:w="1134" w:type="dxa"/>
            <w:shd w:val="clear" w:color="auto" w:fill="auto"/>
            <w:vAlign w:val="center"/>
          </w:tcPr>
          <w:p w14:paraId="0C890DE1"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5/5 (100)</w:t>
            </w:r>
          </w:p>
        </w:tc>
        <w:tc>
          <w:tcPr>
            <w:tcW w:w="1418" w:type="dxa"/>
            <w:shd w:val="clear" w:color="auto" w:fill="auto"/>
            <w:vAlign w:val="center"/>
          </w:tcPr>
          <w:p w14:paraId="00E629C3"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0.42 (0.12, 1.53)</w:t>
            </w:r>
          </w:p>
        </w:tc>
        <w:tc>
          <w:tcPr>
            <w:tcW w:w="1559" w:type="dxa"/>
            <w:shd w:val="clear" w:color="auto" w:fill="auto"/>
            <w:vAlign w:val="center"/>
          </w:tcPr>
          <w:p w14:paraId="18DCDA16"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11.70 (1.38, NC)</w:t>
            </w:r>
          </w:p>
        </w:tc>
        <w:tc>
          <w:tcPr>
            <w:tcW w:w="1559" w:type="dxa"/>
            <w:shd w:val="clear" w:color="auto" w:fill="auto"/>
            <w:vAlign w:val="center"/>
          </w:tcPr>
          <w:p w14:paraId="6BA732F7"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9.40 (5.45, 14.62)</w:t>
            </w:r>
          </w:p>
        </w:tc>
      </w:tr>
      <w:tr w:rsidR="007B57FB" w:rsidRPr="007B57FB" w14:paraId="5558A49F" w14:textId="77777777" w:rsidTr="00AE5405">
        <w:tc>
          <w:tcPr>
            <w:tcW w:w="2405" w:type="dxa"/>
            <w:shd w:val="clear" w:color="auto" w:fill="auto"/>
          </w:tcPr>
          <w:p w14:paraId="2B617E18" w14:textId="77777777" w:rsidR="007B57FB" w:rsidRPr="007B57FB" w:rsidRDefault="007B57FB" w:rsidP="007B57FB">
            <w:pPr>
              <w:spacing w:before="10" w:after="10"/>
              <w:jc w:val="right"/>
              <w:rPr>
                <w:rFonts w:ascii="Arial Narrow" w:hAnsi="Arial Narrow"/>
                <w:i/>
                <w:sz w:val="19"/>
                <w:szCs w:val="19"/>
                <w:vertAlign w:val="superscript"/>
              </w:rPr>
            </w:pPr>
            <w:r w:rsidRPr="007B57FB">
              <w:rPr>
                <w:rFonts w:ascii="Arial Narrow" w:hAnsi="Arial Narrow"/>
                <w:i/>
                <w:sz w:val="19"/>
                <w:szCs w:val="19"/>
              </w:rPr>
              <w:t>BRCA2</w:t>
            </w:r>
            <w:r w:rsidRPr="007B57FB">
              <w:rPr>
                <w:rFonts w:ascii="Arial Narrow" w:hAnsi="Arial Narrow"/>
                <w:i/>
                <w:sz w:val="19"/>
                <w:szCs w:val="19"/>
                <w:vertAlign w:val="superscript"/>
              </w:rPr>
              <w:t>d</w:t>
            </w:r>
          </w:p>
        </w:tc>
        <w:tc>
          <w:tcPr>
            <w:tcW w:w="1134" w:type="dxa"/>
            <w:shd w:val="clear" w:color="auto" w:fill="auto"/>
            <w:vAlign w:val="center"/>
          </w:tcPr>
          <w:p w14:paraId="562F2526"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39/81 (48.1)</w:t>
            </w:r>
          </w:p>
        </w:tc>
        <w:tc>
          <w:tcPr>
            <w:tcW w:w="1134" w:type="dxa"/>
            <w:shd w:val="clear" w:color="auto" w:fill="auto"/>
            <w:vAlign w:val="center"/>
          </w:tcPr>
          <w:p w14:paraId="69B1191D"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32/47 (68.1)</w:t>
            </w:r>
          </w:p>
        </w:tc>
        <w:tc>
          <w:tcPr>
            <w:tcW w:w="1418" w:type="dxa"/>
            <w:shd w:val="clear" w:color="auto" w:fill="auto"/>
            <w:vAlign w:val="center"/>
          </w:tcPr>
          <w:p w14:paraId="4A1D6678" w14:textId="77777777" w:rsidR="007B57FB" w:rsidRPr="007B57FB" w:rsidRDefault="007B57FB" w:rsidP="007B57FB">
            <w:pPr>
              <w:spacing w:before="10" w:after="10"/>
              <w:jc w:val="center"/>
              <w:rPr>
                <w:rFonts w:ascii="Arial Narrow" w:hAnsi="Arial Narrow"/>
                <w:b/>
                <w:i/>
                <w:sz w:val="19"/>
                <w:szCs w:val="19"/>
              </w:rPr>
            </w:pPr>
            <w:r w:rsidRPr="007B57FB">
              <w:rPr>
                <w:rFonts w:ascii="Arial Narrow" w:hAnsi="Arial Narrow"/>
                <w:b/>
                <w:i/>
                <w:sz w:val="19"/>
                <w:szCs w:val="19"/>
              </w:rPr>
              <w:t>0.59 (0.37, 0.95)</w:t>
            </w:r>
          </w:p>
        </w:tc>
        <w:tc>
          <w:tcPr>
            <w:tcW w:w="1559" w:type="dxa"/>
            <w:shd w:val="clear" w:color="auto" w:fill="auto"/>
            <w:vAlign w:val="center"/>
          </w:tcPr>
          <w:p w14:paraId="64F0E9E0"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24.84 (17.35, NC)</w:t>
            </w:r>
          </w:p>
        </w:tc>
        <w:tc>
          <w:tcPr>
            <w:tcW w:w="1559" w:type="dxa"/>
            <w:shd w:val="clear" w:color="auto" w:fill="auto"/>
            <w:vAlign w:val="center"/>
          </w:tcPr>
          <w:p w14:paraId="09491FE1"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15.15 (10.71, 19.75)</w:t>
            </w:r>
          </w:p>
        </w:tc>
      </w:tr>
      <w:tr w:rsidR="007B57FB" w:rsidRPr="007B57FB" w14:paraId="1AA2FAC3" w14:textId="77777777" w:rsidTr="00AE5405">
        <w:tc>
          <w:tcPr>
            <w:tcW w:w="2405" w:type="dxa"/>
            <w:tcBorders>
              <w:bottom w:val="nil"/>
            </w:tcBorders>
            <w:shd w:val="clear" w:color="auto" w:fill="auto"/>
          </w:tcPr>
          <w:p w14:paraId="44B05635" w14:textId="77777777" w:rsidR="007B57FB" w:rsidRPr="007B57FB" w:rsidRDefault="007B57FB" w:rsidP="007B57FB">
            <w:pPr>
              <w:spacing w:before="10" w:after="10"/>
              <w:jc w:val="right"/>
              <w:rPr>
                <w:rFonts w:ascii="Arial Narrow" w:hAnsi="Arial Narrow"/>
                <w:i/>
                <w:sz w:val="19"/>
                <w:szCs w:val="19"/>
                <w:vertAlign w:val="superscript"/>
              </w:rPr>
            </w:pPr>
            <w:proofErr w:type="spellStart"/>
            <w:r w:rsidRPr="007B57FB">
              <w:rPr>
                <w:rFonts w:ascii="Arial Narrow" w:hAnsi="Arial Narrow"/>
                <w:i/>
                <w:sz w:val="19"/>
                <w:szCs w:val="19"/>
              </w:rPr>
              <w:t>ATM</w:t>
            </w:r>
            <w:r w:rsidRPr="007B57FB">
              <w:rPr>
                <w:rFonts w:ascii="Arial Narrow" w:hAnsi="Arial Narrow"/>
                <w:i/>
                <w:sz w:val="19"/>
                <w:szCs w:val="19"/>
                <w:vertAlign w:val="superscript"/>
              </w:rPr>
              <w:t>d</w:t>
            </w:r>
            <w:proofErr w:type="spellEnd"/>
          </w:p>
        </w:tc>
        <w:tc>
          <w:tcPr>
            <w:tcW w:w="1134" w:type="dxa"/>
            <w:tcBorders>
              <w:bottom w:val="nil"/>
            </w:tcBorders>
            <w:shd w:val="clear" w:color="auto" w:fill="auto"/>
            <w:vAlign w:val="center"/>
          </w:tcPr>
          <w:p w14:paraId="3BE7FF0E"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39/62 (62.9)</w:t>
            </w:r>
          </w:p>
        </w:tc>
        <w:tc>
          <w:tcPr>
            <w:tcW w:w="1134" w:type="dxa"/>
            <w:tcBorders>
              <w:bottom w:val="nil"/>
            </w:tcBorders>
            <w:shd w:val="clear" w:color="auto" w:fill="auto"/>
            <w:vAlign w:val="center"/>
          </w:tcPr>
          <w:p w14:paraId="4E3080B8"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15/24 (62.5)</w:t>
            </w:r>
          </w:p>
        </w:tc>
        <w:tc>
          <w:tcPr>
            <w:tcW w:w="1418" w:type="dxa"/>
            <w:tcBorders>
              <w:bottom w:val="nil"/>
            </w:tcBorders>
            <w:shd w:val="clear" w:color="auto" w:fill="auto"/>
            <w:vAlign w:val="center"/>
          </w:tcPr>
          <w:p w14:paraId="35C6FB5F"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0.93 (0.53, 1.75)</w:t>
            </w:r>
          </w:p>
        </w:tc>
        <w:tc>
          <w:tcPr>
            <w:tcW w:w="1559" w:type="dxa"/>
            <w:tcBorders>
              <w:bottom w:val="nil"/>
            </w:tcBorders>
            <w:shd w:val="clear" w:color="auto" w:fill="auto"/>
            <w:vAlign w:val="center"/>
          </w:tcPr>
          <w:p w14:paraId="2DA62DE6"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18 (14.42, 23.43)</w:t>
            </w:r>
          </w:p>
        </w:tc>
        <w:tc>
          <w:tcPr>
            <w:tcW w:w="1559" w:type="dxa"/>
            <w:tcBorders>
              <w:bottom w:val="nil"/>
            </w:tcBorders>
            <w:shd w:val="clear" w:color="auto" w:fill="auto"/>
            <w:vAlign w:val="center"/>
          </w:tcPr>
          <w:p w14:paraId="5B3BA7D8"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15.57 (12.12, 22.01)</w:t>
            </w:r>
          </w:p>
        </w:tc>
      </w:tr>
      <w:tr w:rsidR="007B57FB" w:rsidRPr="007B57FB" w14:paraId="72B05F7F" w14:textId="77777777" w:rsidTr="00AE5405">
        <w:tc>
          <w:tcPr>
            <w:tcW w:w="2405" w:type="dxa"/>
            <w:tcBorders>
              <w:top w:val="nil"/>
            </w:tcBorders>
            <w:shd w:val="clear" w:color="auto" w:fill="auto"/>
          </w:tcPr>
          <w:p w14:paraId="797AD6E4" w14:textId="77777777" w:rsidR="007B57FB" w:rsidRPr="007B57FB" w:rsidRDefault="007B57FB" w:rsidP="007B57FB">
            <w:pPr>
              <w:spacing w:before="10" w:after="10"/>
              <w:jc w:val="right"/>
              <w:rPr>
                <w:rFonts w:ascii="Arial Narrow" w:hAnsi="Arial Narrow"/>
                <w:i/>
                <w:sz w:val="19"/>
                <w:szCs w:val="19"/>
              </w:rPr>
            </w:pPr>
            <w:r w:rsidRPr="007B57FB">
              <w:rPr>
                <w:rFonts w:ascii="Arial Narrow" w:hAnsi="Arial Narrow"/>
                <w:sz w:val="19"/>
                <w:szCs w:val="19"/>
              </w:rPr>
              <w:t>-</w:t>
            </w:r>
            <w:proofErr w:type="spellStart"/>
            <w:r w:rsidRPr="007B57FB">
              <w:rPr>
                <w:rFonts w:ascii="Arial Narrow" w:hAnsi="Arial Narrow"/>
                <w:sz w:val="19"/>
                <w:szCs w:val="19"/>
              </w:rPr>
              <w:t>Adjusted</w:t>
            </w:r>
            <w:r w:rsidRPr="007B57FB">
              <w:rPr>
                <w:rFonts w:ascii="Arial Narrow" w:hAnsi="Arial Narrow"/>
                <w:sz w:val="19"/>
                <w:szCs w:val="19"/>
                <w:vertAlign w:val="superscript"/>
              </w:rPr>
              <w:t>f</w:t>
            </w:r>
            <w:proofErr w:type="spellEnd"/>
            <w:r w:rsidRPr="007B57FB">
              <w:rPr>
                <w:rFonts w:ascii="Arial Narrow" w:hAnsi="Arial Narrow"/>
                <w:sz w:val="19"/>
                <w:szCs w:val="19"/>
              </w:rPr>
              <w:t xml:space="preserve"> for 63% crossed over</w:t>
            </w:r>
          </w:p>
        </w:tc>
        <w:tc>
          <w:tcPr>
            <w:tcW w:w="1134" w:type="dxa"/>
            <w:tcBorders>
              <w:top w:val="nil"/>
            </w:tcBorders>
            <w:shd w:val="clear" w:color="auto" w:fill="auto"/>
            <w:vAlign w:val="center"/>
          </w:tcPr>
          <w:p w14:paraId="7892D0AD" w14:textId="77777777" w:rsidR="007B57FB" w:rsidRPr="007B57FB" w:rsidRDefault="007B57FB" w:rsidP="007B57FB">
            <w:pPr>
              <w:spacing w:before="10" w:after="10"/>
              <w:jc w:val="center"/>
              <w:rPr>
                <w:rFonts w:ascii="Arial Narrow" w:hAnsi="Arial Narrow"/>
                <w:i/>
                <w:sz w:val="19"/>
                <w:szCs w:val="19"/>
              </w:rPr>
            </w:pPr>
          </w:p>
        </w:tc>
        <w:tc>
          <w:tcPr>
            <w:tcW w:w="1134" w:type="dxa"/>
            <w:tcBorders>
              <w:top w:val="nil"/>
            </w:tcBorders>
            <w:shd w:val="clear" w:color="auto" w:fill="auto"/>
            <w:vAlign w:val="center"/>
          </w:tcPr>
          <w:p w14:paraId="335C73C3" w14:textId="77777777" w:rsidR="007B57FB" w:rsidRPr="007B57FB" w:rsidRDefault="007B57FB" w:rsidP="007B57FB">
            <w:pPr>
              <w:spacing w:before="10" w:after="10"/>
              <w:jc w:val="center"/>
              <w:rPr>
                <w:rFonts w:ascii="Arial Narrow" w:hAnsi="Arial Narrow"/>
                <w:i/>
                <w:sz w:val="19"/>
                <w:szCs w:val="19"/>
              </w:rPr>
            </w:pPr>
          </w:p>
        </w:tc>
        <w:tc>
          <w:tcPr>
            <w:tcW w:w="1418" w:type="dxa"/>
            <w:tcBorders>
              <w:top w:val="nil"/>
            </w:tcBorders>
            <w:shd w:val="clear" w:color="auto" w:fill="auto"/>
            <w:vAlign w:val="center"/>
          </w:tcPr>
          <w:p w14:paraId="7CD1BD81"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0.84 (0.19, 3.75)</w:t>
            </w:r>
          </w:p>
        </w:tc>
        <w:tc>
          <w:tcPr>
            <w:tcW w:w="1559" w:type="dxa"/>
            <w:tcBorders>
              <w:top w:val="nil"/>
            </w:tcBorders>
            <w:shd w:val="clear" w:color="auto" w:fill="auto"/>
            <w:vAlign w:val="center"/>
          </w:tcPr>
          <w:p w14:paraId="155FEA83" w14:textId="77777777" w:rsidR="007B57FB" w:rsidRPr="007B57FB" w:rsidRDefault="007B57FB" w:rsidP="007B57FB">
            <w:pPr>
              <w:spacing w:before="10" w:after="10"/>
              <w:jc w:val="center"/>
              <w:rPr>
                <w:rFonts w:ascii="Arial Narrow" w:hAnsi="Arial Narrow"/>
                <w:i/>
                <w:sz w:val="19"/>
                <w:szCs w:val="19"/>
              </w:rPr>
            </w:pPr>
          </w:p>
        </w:tc>
        <w:tc>
          <w:tcPr>
            <w:tcW w:w="1559" w:type="dxa"/>
            <w:tcBorders>
              <w:top w:val="nil"/>
            </w:tcBorders>
            <w:shd w:val="clear" w:color="auto" w:fill="auto"/>
            <w:vAlign w:val="center"/>
          </w:tcPr>
          <w:p w14:paraId="1BB465C1" w14:textId="77777777" w:rsidR="007B57FB" w:rsidRPr="007B57FB" w:rsidRDefault="007B57FB" w:rsidP="007B57FB">
            <w:pPr>
              <w:spacing w:before="10" w:after="10"/>
              <w:jc w:val="center"/>
              <w:rPr>
                <w:rFonts w:ascii="Arial Narrow" w:hAnsi="Arial Narrow"/>
                <w:i/>
                <w:sz w:val="19"/>
                <w:szCs w:val="19"/>
              </w:rPr>
            </w:pPr>
          </w:p>
        </w:tc>
      </w:tr>
      <w:tr w:rsidR="007B57FB" w:rsidRPr="007B57FB" w14:paraId="4DFBE8C4" w14:textId="77777777" w:rsidTr="00AE5405">
        <w:tc>
          <w:tcPr>
            <w:tcW w:w="2405" w:type="dxa"/>
            <w:shd w:val="clear" w:color="auto" w:fill="auto"/>
          </w:tcPr>
          <w:p w14:paraId="734C88CA" w14:textId="77777777" w:rsidR="007B57FB" w:rsidRPr="007B57FB" w:rsidRDefault="007B57FB" w:rsidP="007B57FB">
            <w:pPr>
              <w:spacing w:before="10" w:after="10"/>
              <w:jc w:val="right"/>
              <w:rPr>
                <w:rFonts w:ascii="Arial Narrow" w:hAnsi="Arial Narrow"/>
                <w:i/>
                <w:sz w:val="19"/>
                <w:szCs w:val="19"/>
                <w:vertAlign w:val="superscript"/>
              </w:rPr>
            </w:pPr>
            <w:r w:rsidRPr="007B57FB">
              <w:rPr>
                <w:rFonts w:ascii="Arial Narrow" w:hAnsi="Arial Narrow"/>
                <w:i/>
                <w:sz w:val="19"/>
                <w:szCs w:val="19"/>
              </w:rPr>
              <w:t>CDK12</w:t>
            </w:r>
            <w:r w:rsidRPr="007B57FB">
              <w:rPr>
                <w:rFonts w:ascii="Arial Narrow" w:hAnsi="Arial Narrow"/>
                <w:i/>
                <w:sz w:val="19"/>
                <w:szCs w:val="19"/>
                <w:vertAlign w:val="superscript"/>
              </w:rPr>
              <w:t>d</w:t>
            </w:r>
          </w:p>
        </w:tc>
        <w:tc>
          <w:tcPr>
            <w:tcW w:w="1134" w:type="dxa"/>
            <w:shd w:val="clear" w:color="auto" w:fill="auto"/>
            <w:vAlign w:val="center"/>
          </w:tcPr>
          <w:p w14:paraId="5A289EC0"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47/61 (77.0)</w:t>
            </w:r>
          </w:p>
        </w:tc>
        <w:tc>
          <w:tcPr>
            <w:tcW w:w="1134" w:type="dxa"/>
            <w:shd w:val="clear" w:color="auto" w:fill="auto"/>
            <w:vAlign w:val="center"/>
          </w:tcPr>
          <w:p w14:paraId="635EFED8"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18/28 (64.3)</w:t>
            </w:r>
          </w:p>
        </w:tc>
        <w:tc>
          <w:tcPr>
            <w:tcW w:w="1418" w:type="dxa"/>
            <w:shd w:val="clear" w:color="auto" w:fill="auto"/>
            <w:vAlign w:val="center"/>
          </w:tcPr>
          <w:p w14:paraId="4E638F2B"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0.97 (0.57, 1.71)</w:t>
            </w:r>
          </w:p>
        </w:tc>
        <w:tc>
          <w:tcPr>
            <w:tcW w:w="1559" w:type="dxa"/>
            <w:shd w:val="clear" w:color="auto" w:fill="auto"/>
            <w:vAlign w:val="center"/>
          </w:tcPr>
          <w:p w14:paraId="5C783145"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14.06 (11.14, 15.87)</w:t>
            </w:r>
          </w:p>
        </w:tc>
        <w:tc>
          <w:tcPr>
            <w:tcW w:w="1559" w:type="dxa"/>
            <w:shd w:val="clear" w:color="auto" w:fill="auto"/>
            <w:vAlign w:val="center"/>
          </w:tcPr>
          <w:p w14:paraId="0A071D4E" w14:textId="77777777" w:rsidR="007B57FB" w:rsidRPr="007B57FB" w:rsidRDefault="007B57FB" w:rsidP="007B57FB">
            <w:pPr>
              <w:spacing w:before="10" w:after="10"/>
              <w:jc w:val="center"/>
              <w:rPr>
                <w:rFonts w:ascii="Arial Narrow" w:hAnsi="Arial Narrow"/>
                <w:i/>
                <w:sz w:val="19"/>
                <w:szCs w:val="19"/>
              </w:rPr>
            </w:pPr>
            <w:r w:rsidRPr="007B57FB">
              <w:rPr>
                <w:rFonts w:ascii="Arial Narrow" w:hAnsi="Arial Narrow"/>
                <w:i/>
                <w:sz w:val="19"/>
                <w:szCs w:val="19"/>
              </w:rPr>
              <w:t>11.47 (7.82, 17.74)</w:t>
            </w:r>
          </w:p>
        </w:tc>
      </w:tr>
    </w:tbl>
    <w:p w14:paraId="47636AC0" w14:textId="4CBC08CF" w:rsidR="007B57FB" w:rsidRPr="00AD3D5C" w:rsidRDefault="007B57FB" w:rsidP="007B57FB">
      <w:pPr>
        <w:jc w:val="both"/>
        <w:rPr>
          <w:rFonts w:ascii="Arial Narrow" w:hAnsi="Arial Narrow"/>
          <w:sz w:val="18"/>
          <w:szCs w:val="18"/>
          <w:lang w:eastAsia="en-GB"/>
        </w:rPr>
      </w:pPr>
      <w:r w:rsidRPr="00AD3D5C">
        <w:rPr>
          <w:rFonts w:ascii="Arial Narrow" w:hAnsi="Arial Narrow"/>
          <w:sz w:val="18"/>
          <w:szCs w:val="18"/>
          <w:lang w:eastAsia="en-GB"/>
        </w:rPr>
        <w:t xml:space="preserve">Source: TGA delegate overview (Table 5), </w:t>
      </w:r>
      <w:proofErr w:type="spellStart"/>
      <w:r w:rsidRPr="00AD3D5C">
        <w:rPr>
          <w:rFonts w:ascii="Arial Narrow" w:hAnsi="Arial Narrow"/>
          <w:sz w:val="18"/>
          <w:szCs w:val="18"/>
          <w:lang w:eastAsia="en-GB"/>
        </w:rPr>
        <w:t>PROfound</w:t>
      </w:r>
      <w:proofErr w:type="spellEnd"/>
      <w:r w:rsidRPr="00AD3D5C">
        <w:rPr>
          <w:rFonts w:ascii="Arial Narrow" w:hAnsi="Arial Narrow"/>
          <w:sz w:val="18"/>
          <w:szCs w:val="18"/>
          <w:lang w:eastAsia="en-GB"/>
        </w:rPr>
        <w:t xml:space="preserve"> CSR sections tables listings figures.pdf (Table 14.2.1.4.1, 14.2.5.1). Hussain et al 2020 publication and supplement. Table 2-13, p85; Table 2-30, p94; Section 2.2.D.7, p113-125 of the submission.</w:t>
      </w:r>
    </w:p>
    <w:p w14:paraId="2989F95A" w14:textId="24EB50CA" w:rsidR="007B57FB" w:rsidRPr="007B57FB" w:rsidRDefault="007B57FB" w:rsidP="007B57FB">
      <w:pPr>
        <w:jc w:val="both"/>
        <w:rPr>
          <w:rFonts w:ascii="Arial Narrow" w:hAnsi="Arial Narrow"/>
          <w:sz w:val="18"/>
          <w:szCs w:val="18"/>
          <w:lang w:eastAsia="en-GB"/>
        </w:rPr>
      </w:pPr>
      <w:r w:rsidRPr="007B57FB">
        <w:rPr>
          <w:rFonts w:ascii="Arial Narrow" w:hAnsi="Arial Narrow"/>
          <w:i/>
          <w:sz w:val="18"/>
          <w:szCs w:val="18"/>
          <w:lang w:eastAsia="en-GB"/>
        </w:rPr>
        <w:t>Italics=results extracted/corrected during the evaluation</w:t>
      </w:r>
      <w:r>
        <w:rPr>
          <w:rFonts w:ascii="Arial Narrow" w:hAnsi="Arial Narrow"/>
          <w:i/>
          <w:sz w:val="18"/>
          <w:szCs w:val="18"/>
          <w:lang w:eastAsia="en-GB"/>
        </w:rPr>
        <w:t xml:space="preserve"> </w:t>
      </w:r>
      <w:r w:rsidRPr="007B57FB">
        <w:rPr>
          <w:rFonts w:ascii="Arial Narrow" w:hAnsi="Arial Narrow"/>
          <w:b/>
          <w:sz w:val="18"/>
          <w:szCs w:val="18"/>
          <w:lang w:eastAsia="en-GB"/>
        </w:rPr>
        <w:t>Bold</w:t>
      </w:r>
      <w:r w:rsidRPr="007B57FB">
        <w:rPr>
          <w:rFonts w:ascii="Arial Narrow" w:hAnsi="Arial Narrow"/>
          <w:sz w:val="18"/>
          <w:szCs w:val="18"/>
          <w:lang w:eastAsia="en-GB"/>
        </w:rPr>
        <w:t xml:space="preserve"> =statistically significant</w:t>
      </w:r>
    </w:p>
    <w:p w14:paraId="1C136A4A" w14:textId="77777777" w:rsidR="007B57FB" w:rsidRPr="00AD3D5C" w:rsidRDefault="007B57FB" w:rsidP="007B57FB">
      <w:pPr>
        <w:jc w:val="both"/>
        <w:rPr>
          <w:rFonts w:ascii="Arial Narrow" w:hAnsi="Arial Narrow"/>
          <w:sz w:val="18"/>
          <w:szCs w:val="18"/>
          <w:lang w:eastAsia="en-GB"/>
        </w:rPr>
      </w:pPr>
      <w:r w:rsidRPr="00AD3D5C">
        <w:rPr>
          <w:rFonts w:ascii="Arial Narrow" w:hAnsi="Arial Narrow"/>
          <w:sz w:val="18"/>
          <w:szCs w:val="18"/>
          <w:lang w:eastAsia="en-GB"/>
        </w:rPr>
        <w:t xml:space="preserve">BICR=blinded independent central review; BRCA=breast cancer gene; CI=confidence interval; HR=hazard ratio; NHA=novel hormonal agent (abiraterone, enzalutamide); NR=not reported; NC=not calculable, OS=overall survival; </w:t>
      </w:r>
      <w:proofErr w:type="spellStart"/>
      <w:r w:rsidRPr="00AD3D5C">
        <w:rPr>
          <w:rFonts w:ascii="Arial Narrow" w:hAnsi="Arial Narrow"/>
          <w:sz w:val="18"/>
          <w:szCs w:val="18"/>
          <w:lang w:eastAsia="en-GB"/>
        </w:rPr>
        <w:t>rPFS</w:t>
      </w:r>
      <w:proofErr w:type="spellEnd"/>
      <w:r w:rsidRPr="00AD3D5C">
        <w:rPr>
          <w:rFonts w:ascii="Arial Narrow" w:hAnsi="Arial Narrow"/>
          <w:sz w:val="18"/>
          <w:szCs w:val="18"/>
          <w:lang w:eastAsia="en-GB"/>
        </w:rPr>
        <w:t>=radiological progression-free survival;</w:t>
      </w:r>
    </w:p>
    <w:p w14:paraId="2FE16B88" w14:textId="77777777" w:rsidR="007B57FB" w:rsidRPr="00AD3D5C" w:rsidRDefault="007B57FB" w:rsidP="007B57FB">
      <w:pPr>
        <w:jc w:val="both"/>
        <w:rPr>
          <w:rFonts w:ascii="Arial Narrow" w:hAnsi="Arial Narrow"/>
          <w:sz w:val="18"/>
          <w:szCs w:val="18"/>
          <w:lang w:eastAsia="en-GB"/>
        </w:rPr>
      </w:pPr>
      <w:r w:rsidRPr="00AD3D5C">
        <w:rPr>
          <w:rFonts w:ascii="Arial Narrow" w:hAnsi="Arial Narrow"/>
          <w:sz w:val="18"/>
          <w:szCs w:val="18"/>
          <w:lang w:eastAsia="en-GB"/>
        </w:rPr>
        <w:t>^</w:t>
      </w:r>
      <w:r w:rsidRPr="00AD3D5C">
        <w:rPr>
          <w:rFonts w:ascii="Arial Narrow" w:hAnsi="Arial Narrow"/>
          <w:sz w:val="18"/>
          <w:szCs w:val="18"/>
          <w:lang w:eastAsia="en-GB"/>
        </w:rPr>
        <w:tab/>
        <w:t>primary end point</w:t>
      </w:r>
    </w:p>
    <w:p w14:paraId="75E7014B" w14:textId="443E3F31" w:rsidR="007B57FB" w:rsidRPr="00AD3D5C" w:rsidRDefault="007B57FB" w:rsidP="007B57FB">
      <w:pPr>
        <w:jc w:val="both"/>
        <w:rPr>
          <w:rFonts w:ascii="Arial Narrow" w:hAnsi="Arial Narrow"/>
          <w:sz w:val="18"/>
          <w:szCs w:val="18"/>
          <w:lang w:eastAsia="en-GB"/>
        </w:rPr>
      </w:pPr>
      <w:proofErr w:type="spellStart"/>
      <w:r w:rsidRPr="00AD3D5C">
        <w:rPr>
          <w:rFonts w:ascii="Arial Narrow" w:hAnsi="Arial Narrow"/>
          <w:sz w:val="18"/>
          <w:szCs w:val="18"/>
          <w:vertAlign w:val="superscript"/>
          <w:lang w:eastAsia="en-GB"/>
        </w:rPr>
        <w:t>a</w:t>
      </w:r>
      <w:proofErr w:type="spellEnd"/>
      <w:r w:rsidRPr="00AD3D5C">
        <w:rPr>
          <w:rFonts w:ascii="Arial Narrow" w:hAnsi="Arial Narrow"/>
          <w:sz w:val="18"/>
          <w:szCs w:val="18"/>
          <w:lang w:eastAsia="en-GB"/>
        </w:rPr>
        <w:tab/>
        <w:t>this was incorrectly reported in the submission as 11.20.</w:t>
      </w:r>
    </w:p>
    <w:p w14:paraId="3A297FA0" w14:textId="6FEAC86D" w:rsidR="007B57FB" w:rsidRPr="00AD3D5C" w:rsidRDefault="007B57FB" w:rsidP="007B57FB">
      <w:pPr>
        <w:jc w:val="both"/>
        <w:rPr>
          <w:rFonts w:ascii="Arial Narrow" w:hAnsi="Arial Narrow"/>
          <w:sz w:val="18"/>
          <w:szCs w:val="18"/>
          <w:lang w:eastAsia="en-GB"/>
        </w:rPr>
      </w:pPr>
      <w:r w:rsidRPr="00AD3D5C">
        <w:rPr>
          <w:rFonts w:ascii="Arial Narrow" w:hAnsi="Arial Narrow"/>
          <w:sz w:val="18"/>
          <w:szCs w:val="18"/>
          <w:vertAlign w:val="superscript"/>
          <w:lang w:eastAsia="en-GB"/>
        </w:rPr>
        <w:t>b</w:t>
      </w:r>
      <w:r w:rsidRPr="00AD3D5C">
        <w:rPr>
          <w:rFonts w:ascii="Arial Narrow" w:hAnsi="Arial Narrow"/>
          <w:sz w:val="18"/>
          <w:szCs w:val="18"/>
          <w:lang w:eastAsia="en-GB"/>
        </w:rPr>
        <w:tab/>
        <w:t>patients with single and co-</w:t>
      </w:r>
      <w:r w:rsidR="00857836">
        <w:rPr>
          <w:rFonts w:ascii="Arial Narrow" w:hAnsi="Arial Narrow"/>
          <w:sz w:val="18"/>
          <w:szCs w:val="18"/>
          <w:lang w:eastAsia="en-GB"/>
        </w:rPr>
        <w:t>variants</w:t>
      </w:r>
      <w:r w:rsidRPr="00AD3D5C">
        <w:rPr>
          <w:rFonts w:ascii="Arial Narrow" w:hAnsi="Arial Narrow"/>
          <w:sz w:val="18"/>
          <w:szCs w:val="18"/>
          <w:lang w:eastAsia="en-GB"/>
        </w:rPr>
        <w:t>.</w:t>
      </w:r>
    </w:p>
    <w:p w14:paraId="6511EDD2" w14:textId="1D17FA5B" w:rsidR="007B57FB" w:rsidRPr="00AD3D5C" w:rsidRDefault="007B57FB" w:rsidP="007B57FB">
      <w:pPr>
        <w:ind w:left="165" w:hanging="165"/>
        <w:jc w:val="both"/>
        <w:rPr>
          <w:rFonts w:ascii="Arial Narrow" w:hAnsi="Arial Narrow"/>
          <w:sz w:val="18"/>
          <w:szCs w:val="18"/>
          <w:lang w:eastAsia="en-GB"/>
        </w:rPr>
      </w:pPr>
      <w:r w:rsidRPr="00AD3D5C">
        <w:rPr>
          <w:rFonts w:ascii="Arial Narrow" w:hAnsi="Arial Narrow"/>
          <w:sz w:val="18"/>
          <w:szCs w:val="18"/>
          <w:vertAlign w:val="superscript"/>
          <w:lang w:eastAsia="en-GB"/>
        </w:rPr>
        <w:t>c</w:t>
      </w:r>
      <w:r w:rsidRPr="00AD3D5C">
        <w:rPr>
          <w:rFonts w:ascii="Arial Narrow" w:hAnsi="Arial Narrow"/>
          <w:sz w:val="18"/>
          <w:szCs w:val="18"/>
          <w:lang w:eastAsia="en-GB"/>
        </w:rPr>
        <w:tab/>
        <w:t xml:space="preserve">includes patients </w:t>
      </w:r>
      <w:r w:rsidR="00857836">
        <w:rPr>
          <w:rFonts w:ascii="Arial Narrow" w:hAnsi="Arial Narrow"/>
          <w:sz w:val="18"/>
          <w:szCs w:val="18"/>
          <w:lang w:eastAsia="en-GB"/>
        </w:rPr>
        <w:t>f</w:t>
      </w:r>
      <w:r w:rsidR="00857836" w:rsidRPr="00857836">
        <w:rPr>
          <w:rFonts w:ascii="Arial Narrow" w:hAnsi="Arial Narrow"/>
          <w:sz w:val="18"/>
          <w:szCs w:val="18"/>
          <w:lang w:eastAsia="en-GB"/>
        </w:rPr>
        <w:t xml:space="preserve">rom </w:t>
      </w:r>
      <w:proofErr w:type="spellStart"/>
      <w:r w:rsidR="00857836" w:rsidRPr="00857836">
        <w:rPr>
          <w:rFonts w:ascii="Arial Narrow" w:hAnsi="Arial Narrow"/>
          <w:sz w:val="18"/>
          <w:szCs w:val="18"/>
          <w:lang w:eastAsia="en-GB"/>
        </w:rPr>
        <w:t>PROfound</w:t>
      </w:r>
      <w:proofErr w:type="spellEnd"/>
      <w:r w:rsidR="00857836" w:rsidRPr="00857836">
        <w:rPr>
          <w:rFonts w:ascii="Arial Narrow" w:hAnsi="Arial Narrow"/>
          <w:sz w:val="18"/>
          <w:szCs w:val="18"/>
          <w:lang w:eastAsia="en-GB"/>
        </w:rPr>
        <w:t xml:space="preserve"> </w:t>
      </w:r>
      <w:r w:rsidRPr="00AD3D5C">
        <w:rPr>
          <w:rFonts w:ascii="Arial Narrow" w:hAnsi="Arial Narrow"/>
          <w:sz w:val="18"/>
          <w:szCs w:val="18"/>
          <w:lang w:eastAsia="en-GB"/>
        </w:rPr>
        <w:t xml:space="preserve">with </w:t>
      </w:r>
      <w:r w:rsidR="00857836">
        <w:rPr>
          <w:rFonts w:ascii="Arial Narrow" w:hAnsi="Arial Narrow"/>
          <w:sz w:val="18"/>
          <w:szCs w:val="18"/>
          <w:lang w:eastAsia="en-GB"/>
        </w:rPr>
        <w:t xml:space="preserve">variants in </w:t>
      </w:r>
      <w:r w:rsidRPr="00AD3D5C">
        <w:rPr>
          <w:rFonts w:ascii="Arial Narrow" w:hAnsi="Arial Narrow"/>
          <w:sz w:val="18"/>
          <w:szCs w:val="18"/>
          <w:lang w:eastAsia="en-GB"/>
        </w:rPr>
        <w:t xml:space="preserve">the following </w:t>
      </w:r>
      <w:r w:rsidR="00857836">
        <w:rPr>
          <w:rFonts w:ascii="Arial Narrow" w:hAnsi="Arial Narrow"/>
          <w:sz w:val="18"/>
          <w:szCs w:val="18"/>
          <w:lang w:eastAsia="en-GB"/>
        </w:rPr>
        <w:t>genes</w:t>
      </w:r>
      <w:r w:rsidRPr="00AD3D5C">
        <w:rPr>
          <w:rFonts w:ascii="Arial Narrow" w:hAnsi="Arial Narrow"/>
          <w:sz w:val="18"/>
          <w:szCs w:val="18"/>
          <w:lang w:eastAsia="en-GB"/>
        </w:rPr>
        <w:t xml:space="preserve">: </w:t>
      </w:r>
      <w:r w:rsidRPr="00857836">
        <w:rPr>
          <w:rFonts w:ascii="Arial Narrow" w:hAnsi="Arial Narrow"/>
          <w:i/>
          <w:sz w:val="18"/>
          <w:szCs w:val="18"/>
          <w:lang w:eastAsia="en-GB"/>
        </w:rPr>
        <w:t>BARD1</w:t>
      </w:r>
      <w:r w:rsidRPr="00AD3D5C">
        <w:rPr>
          <w:rFonts w:ascii="Arial Narrow" w:hAnsi="Arial Narrow"/>
          <w:sz w:val="18"/>
          <w:szCs w:val="18"/>
          <w:lang w:eastAsia="en-GB"/>
        </w:rPr>
        <w:t xml:space="preserve"> &amp;/or </w:t>
      </w:r>
      <w:r w:rsidRPr="00857836">
        <w:rPr>
          <w:rFonts w:ascii="Arial Narrow" w:hAnsi="Arial Narrow"/>
          <w:i/>
          <w:sz w:val="18"/>
          <w:szCs w:val="18"/>
          <w:lang w:eastAsia="en-GB"/>
        </w:rPr>
        <w:t>BRIP1</w:t>
      </w:r>
      <w:r w:rsidRPr="00AD3D5C">
        <w:rPr>
          <w:rFonts w:ascii="Arial Narrow" w:hAnsi="Arial Narrow"/>
          <w:sz w:val="18"/>
          <w:szCs w:val="18"/>
          <w:lang w:eastAsia="en-GB"/>
        </w:rPr>
        <w:t xml:space="preserve"> &amp;/or </w:t>
      </w:r>
      <w:r w:rsidRPr="00857836">
        <w:rPr>
          <w:rFonts w:ascii="Arial Narrow" w:hAnsi="Arial Narrow"/>
          <w:i/>
          <w:sz w:val="18"/>
          <w:szCs w:val="18"/>
          <w:lang w:eastAsia="en-GB"/>
        </w:rPr>
        <w:t>CHEK1</w:t>
      </w:r>
      <w:r w:rsidRPr="00AD3D5C">
        <w:rPr>
          <w:rFonts w:ascii="Arial Narrow" w:hAnsi="Arial Narrow"/>
          <w:sz w:val="18"/>
          <w:szCs w:val="18"/>
          <w:lang w:eastAsia="en-GB"/>
        </w:rPr>
        <w:t xml:space="preserve"> &amp;/or </w:t>
      </w:r>
      <w:r w:rsidRPr="00857836">
        <w:rPr>
          <w:rFonts w:ascii="Arial Narrow" w:hAnsi="Arial Narrow"/>
          <w:i/>
          <w:sz w:val="18"/>
          <w:szCs w:val="18"/>
          <w:lang w:eastAsia="en-GB"/>
        </w:rPr>
        <w:t>CHEK2</w:t>
      </w:r>
      <w:r w:rsidRPr="00AD3D5C">
        <w:rPr>
          <w:rFonts w:ascii="Arial Narrow" w:hAnsi="Arial Narrow"/>
          <w:sz w:val="18"/>
          <w:szCs w:val="18"/>
          <w:lang w:eastAsia="en-GB"/>
        </w:rPr>
        <w:t xml:space="preserve"> &amp;/or</w:t>
      </w:r>
      <w:r w:rsidR="00857836">
        <w:rPr>
          <w:rFonts w:ascii="Arial Narrow" w:hAnsi="Arial Narrow"/>
          <w:sz w:val="18"/>
          <w:szCs w:val="18"/>
          <w:lang w:eastAsia="en-GB"/>
        </w:rPr>
        <w:t xml:space="preserve"> </w:t>
      </w:r>
      <w:r w:rsidRPr="00857836">
        <w:rPr>
          <w:rFonts w:ascii="Arial Narrow" w:hAnsi="Arial Narrow"/>
          <w:i/>
          <w:sz w:val="18"/>
          <w:szCs w:val="18"/>
          <w:lang w:eastAsia="en-GB"/>
        </w:rPr>
        <w:t>PALB2</w:t>
      </w:r>
      <w:r w:rsidRPr="00AD3D5C">
        <w:rPr>
          <w:rFonts w:ascii="Arial Narrow" w:hAnsi="Arial Narrow"/>
          <w:sz w:val="18"/>
          <w:szCs w:val="18"/>
          <w:lang w:eastAsia="en-GB"/>
        </w:rPr>
        <w:t xml:space="preserve"> &amp;/or</w:t>
      </w:r>
      <w:r w:rsidR="00857836">
        <w:rPr>
          <w:rFonts w:ascii="Arial Narrow" w:hAnsi="Arial Narrow"/>
          <w:sz w:val="18"/>
          <w:szCs w:val="18"/>
          <w:lang w:eastAsia="en-GB"/>
        </w:rPr>
        <w:t xml:space="preserve"> </w:t>
      </w:r>
      <w:r w:rsidRPr="00857836">
        <w:rPr>
          <w:rFonts w:ascii="Arial Narrow" w:hAnsi="Arial Narrow"/>
          <w:i/>
          <w:sz w:val="18"/>
          <w:szCs w:val="18"/>
          <w:lang w:eastAsia="en-GB"/>
        </w:rPr>
        <w:t>PPP2R2A</w:t>
      </w:r>
      <w:r w:rsidRPr="00AD3D5C">
        <w:rPr>
          <w:rFonts w:ascii="Arial Narrow" w:hAnsi="Arial Narrow"/>
          <w:sz w:val="18"/>
          <w:szCs w:val="18"/>
          <w:lang w:eastAsia="en-GB"/>
        </w:rPr>
        <w:t xml:space="preserve"> &amp;/or </w:t>
      </w:r>
      <w:r w:rsidRPr="00857836">
        <w:rPr>
          <w:rFonts w:ascii="Arial Narrow" w:hAnsi="Arial Narrow"/>
          <w:i/>
          <w:sz w:val="18"/>
          <w:szCs w:val="18"/>
          <w:lang w:eastAsia="en-GB"/>
        </w:rPr>
        <w:t>RAD51B</w:t>
      </w:r>
      <w:r w:rsidRPr="00AD3D5C">
        <w:rPr>
          <w:rFonts w:ascii="Arial Narrow" w:hAnsi="Arial Narrow"/>
          <w:sz w:val="18"/>
          <w:szCs w:val="18"/>
          <w:lang w:eastAsia="en-GB"/>
        </w:rPr>
        <w:t xml:space="preserve"> &amp;/or </w:t>
      </w:r>
      <w:r w:rsidRPr="00857836">
        <w:rPr>
          <w:rFonts w:ascii="Arial Narrow" w:hAnsi="Arial Narrow"/>
          <w:i/>
          <w:sz w:val="18"/>
          <w:szCs w:val="18"/>
          <w:lang w:eastAsia="en-GB"/>
        </w:rPr>
        <w:t>RAD51D</w:t>
      </w:r>
      <w:r w:rsidRPr="00AD3D5C">
        <w:rPr>
          <w:rFonts w:ascii="Arial Narrow" w:hAnsi="Arial Narrow"/>
          <w:sz w:val="18"/>
          <w:szCs w:val="18"/>
          <w:lang w:eastAsia="en-GB"/>
        </w:rPr>
        <w:t>.</w:t>
      </w:r>
    </w:p>
    <w:p w14:paraId="7BDD832D" w14:textId="3BEC392B" w:rsidR="007B57FB" w:rsidRPr="00AD3D5C" w:rsidRDefault="007B57FB" w:rsidP="007B57FB">
      <w:pPr>
        <w:ind w:left="165" w:hanging="165"/>
        <w:jc w:val="both"/>
        <w:rPr>
          <w:rFonts w:ascii="Arial Narrow" w:hAnsi="Arial Narrow"/>
          <w:sz w:val="18"/>
          <w:szCs w:val="18"/>
          <w:lang w:eastAsia="en-GB"/>
        </w:rPr>
      </w:pPr>
      <w:r w:rsidRPr="00AD3D5C">
        <w:rPr>
          <w:rFonts w:ascii="Arial Narrow" w:hAnsi="Arial Narrow"/>
          <w:sz w:val="18"/>
          <w:szCs w:val="18"/>
          <w:vertAlign w:val="superscript"/>
          <w:lang w:eastAsia="en-GB"/>
        </w:rPr>
        <w:t>d</w:t>
      </w:r>
      <w:r w:rsidRPr="00AD3D5C">
        <w:rPr>
          <w:rFonts w:ascii="Arial Narrow" w:hAnsi="Arial Narrow"/>
          <w:sz w:val="18"/>
          <w:szCs w:val="18"/>
          <w:lang w:eastAsia="en-GB"/>
        </w:rPr>
        <w:tab/>
        <w:t xml:space="preserve">gene subgroup analysis is based on patients with a single HRR </w:t>
      </w:r>
      <w:r w:rsidR="00857836">
        <w:rPr>
          <w:rFonts w:ascii="Arial Narrow" w:hAnsi="Arial Narrow"/>
          <w:sz w:val="18"/>
          <w:szCs w:val="18"/>
          <w:lang w:eastAsia="en-GB"/>
        </w:rPr>
        <w:t>variant</w:t>
      </w:r>
      <w:r w:rsidRPr="00AD3D5C">
        <w:rPr>
          <w:rFonts w:ascii="Arial Narrow" w:hAnsi="Arial Narrow"/>
          <w:sz w:val="18"/>
          <w:szCs w:val="18"/>
          <w:lang w:eastAsia="en-GB"/>
        </w:rPr>
        <w:t xml:space="preserve"> (results presented for genes with &gt;10 patients in each arm in the trial)</w:t>
      </w:r>
    </w:p>
    <w:p w14:paraId="7BFE5925" w14:textId="77777777" w:rsidR="007B57FB" w:rsidRPr="00AD3D5C" w:rsidRDefault="007B57FB" w:rsidP="007B57FB">
      <w:pPr>
        <w:ind w:left="165" w:hanging="165"/>
        <w:jc w:val="both"/>
        <w:rPr>
          <w:rFonts w:ascii="Arial Narrow" w:hAnsi="Arial Narrow"/>
          <w:sz w:val="18"/>
          <w:szCs w:val="18"/>
          <w:lang w:eastAsia="en-GB"/>
        </w:rPr>
      </w:pPr>
      <w:r w:rsidRPr="00AD3D5C">
        <w:rPr>
          <w:rFonts w:ascii="Arial Narrow" w:hAnsi="Arial Narrow"/>
          <w:sz w:val="18"/>
          <w:szCs w:val="18"/>
          <w:vertAlign w:val="superscript"/>
          <w:lang w:eastAsia="en-GB"/>
        </w:rPr>
        <w:t>e</w:t>
      </w:r>
      <w:r w:rsidRPr="00AD3D5C">
        <w:rPr>
          <w:rFonts w:ascii="Arial Narrow" w:hAnsi="Arial Narrow"/>
          <w:sz w:val="18"/>
          <w:szCs w:val="18"/>
          <w:lang w:eastAsia="en-GB"/>
        </w:rPr>
        <w:tab/>
        <w:t xml:space="preserve">the number and proportion of deaths in the </w:t>
      </w:r>
      <w:r w:rsidRPr="00857836">
        <w:rPr>
          <w:rFonts w:ascii="Arial Narrow" w:hAnsi="Arial Narrow"/>
          <w:i/>
          <w:sz w:val="18"/>
          <w:szCs w:val="18"/>
          <w:lang w:eastAsia="en-GB"/>
        </w:rPr>
        <w:t>BRCA1/2</w:t>
      </w:r>
      <w:r w:rsidRPr="00AD3D5C">
        <w:rPr>
          <w:rFonts w:ascii="Arial Narrow" w:hAnsi="Arial Narrow"/>
          <w:sz w:val="18"/>
          <w:szCs w:val="18"/>
          <w:lang w:eastAsia="en-GB"/>
        </w:rPr>
        <w:t xml:space="preserve"> subgroup was not provided by the submission, but was available in Table 14.2.4.5 of the CSR addendum supplementary tables provided with the submission.</w:t>
      </w:r>
    </w:p>
    <w:p w14:paraId="7DBB6297" w14:textId="0DF3C098" w:rsidR="007B57FB" w:rsidRPr="00AD3D5C" w:rsidRDefault="007B57FB" w:rsidP="00AD3D5C">
      <w:pPr>
        <w:ind w:left="165" w:hanging="165"/>
        <w:jc w:val="both"/>
        <w:rPr>
          <w:rFonts w:ascii="Arial Narrow" w:hAnsi="Arial Narrow"/>
          <w:sz w:val="18"/>
          <w:szCs w:val="18"/>
          <w:lang w:eastAsia="en-GB"/>
        </w:rPr>
      </w:pPr>
      <w:r w:rsidRPr="00AD3D5C">
        <w:rPr>
          <w:rFonts w:ascii="Arial Narrow" w:hAnsi="Arial Narrow"/>
          <w:sz w:val="18"/>
          <w:szCs w:val="18"/>
          <w:vertAlign w:val="superscript"/>
          <w:lang w:eastAsia="en-GB"/>
        </w:rPr>
        <w:t>f</w:t>
      </w:r>
      <w:r w:rsidRPr="00AD3D5C">
        <w:rPr>
          <w:rFonts w:ascii="Arial Narrow" w:hAnsi="Arial Narrow"/>
          <w:sz w:val="18"/>
          <w:szCs w:val="18"/>
          <w:vertAlign w:val="superscript"/>
          <w:lang w:eastAsia="en-GB"/>
        </w:rPr>
        <w:tab/>
      </w:r>
      <w:r w:rsidRPr="00AD3D5C">
        <w:rPr>
          <w:rFonts w:ascii="Arial Narrow" w:hAnsi="Arial Narrow"/>
          <w:sz w:val="18"/>
          <w:szCs w:val="18"/>
          <w:lang w:eastAsia="en-GB"/>
        </w:rPr>
        <w:t>rank preserving structural failure time model</w:t>
      </w:r>
      <w:r w:rsidRPr="00AD3D5C">
        <w:rPr>
          <w:rFonts w:ascii="Arial Narrow" w:hAnsi="Arial Narrow"/>
          <w:sz w:val="18"/>
          <w:szCs w:val="18"/>
          <w:vertAlign w:val="superscript"/>
          <w:lang w:eastAsia="en-GB"/>
        </w:rPr>
        <w:t xml:space="preserve"> </w:t>
      </w:r>
      <w:r w:rsidRPr="00AD3D5C">
        <w:rPr>
          <w:rFonts w:ascii="Arial Narrow" w:hAnsi="Arial Narrow"/>
          <w:sz w:val="18"/>
          <w:szCs w:val="18"/>
          <w:lang w:eastAsia="en-GB"/>
        </w:rPr>
        <w:t>(RPSFTM) used to adjust for patient who crossed over from NHA to olaparib treatment.</w:t>
      </w:r>
    </w:p>
    <w:p w14:paraId="09759235" w14:textId="64EDAC3F" w:rsidR="006B0FEE" w:rsidRPr="006B0FEE" w:rsidRDefault="006B0FEE" w:rsidP="007C2DC0">
      <w:pPr>
        <w:spacing w:before="240"/>
        <w:rPr>
          <w:rFonts w:eastAsia="Calibri" w:cs="Arial"/>
          <w:iCs/>
          <w:szCs w:val="22"/>
          <w:lang w:eastAsia="en-US"/>
        </w:rPr>
      </w:pPr>
      <w:r w:rsidRPr="006B0FEE">
        <w:rPr>
          <w:rFonts w:eastAsia="Calibri" w:cs="Arial"/>
          <w:iCs/>
          <w:szCs w:val="22"/>
          <w:lang w:eastAsia="en-US"/>
        </w:rPr>
        <w:t>While the submission mentioned two trials, TOPAR</w:t>
      </w:r>
      <w:r w:rsidR="009368C9">
        <w:rPr>
          <w:rFonts w:eastAsia="Calibri" w:cs="Arial"/>
          <w:iCs/>
          <w:szCs w:val="22"/>
          <w:lang w:eastAsia="en-US"/>
        </w:rPr>
        <w:t>P</w:t>
      </w:r>
      <w:r w:rsidRPr="006B0FEE">
        <w:rPr>
          <w:rFonts w:eastAsia="Calibri" w:cs="Arial"/>
          <w:iCs/>
          <w:szCs w:val="22"/>
          <w:lang w:eastAsia="en-US"/>
        </w:rPr>
        <w:t>-A (Mateo 2015)</w:t>
      </w:r>
      <w:r w:rsidRPr="006B0FEE">
        <w:rPr>
          <w:rFonts w:eastAsia="Calibri" w:cs="Arial"/>
          <w:szCs w:val="22"/>
          <w:vertAlign w:val="superscript"/>
          <w:lang w:eastAsia="en-US"/>
        </w:rPr>
        <w:footnoteReference w:id="10"/>
      </w:r>
      <w:r w:rsidR="009368C9">
        <w:rPr>
          <w:rFonts w:eastAsia="Calibri" w:cs="Arial"/>
          <w:iCs/>
          <w:szCs w:val="22"/>
          <w:lang w:eastAsia="en-US"/>
        </w:rPr>
        <w:t xml:space="preserve"> and TOPARP</w:t>
      </w:r>
      <w:r w:rsidRPr="006B0FEE">
        <w:rPr>
          <w:rFonts w:eastAsia="Calibri" w:cs="Arial"/>
          <w:iCs/>
          <w:szCs w:val="22"/>
          <w:lang w:eastAsia="en-US"/>
        </w:rPr>
        <w:t>-B (Mateo 2020)</w:t>
      </w:r>
      <w:r w:rsidRPr="006B0FEE">
        <w:rPr>
          <w:rFonts w:eastAsia="Calibri" w:cs="Arial"/>
          <w:szCs w:val="22"/>
          <w:vertAlign w:val="superscript"/>
          <w:lang w:eastAsia="en-US"/>
        </w:rPr>
        <w:footnoteReference w:id="11"/>
      </w:r>
      <w:r w:rsidRPr="006B0FEE">
        <w:rPr>
          <w:rFonts w:eastAsia="Calibri" w:cs="Arial"/>
          <w:iCs/>
          <w:szCs w:val="22"/>
          <w:lang w:eastAsia="en-US"/>
        </w:rPr>
        <w:t xml:space="preserve"> to support the predictive claim of olaparib, the Commentary considered there was insufficient evidence in these trials to establish the predictive effect of the test. The submission also included a study by </w:t>
      </w:r>
      <w:proofErr w:type="spellStart"/>
      <w:r w:rsidRPr="006B0FEE">
        <w:rPr>
          <w:rFonts w:eastAsia="Calibri" w:cs="Arial"/>
          <w:iCs/>
          <w:szCs w:val="22"/>
          <w:lang w:eastAsia="en-US"/>
        </w:rPr>
        <w:t>Abida</w:t>
      </w:r>
      <w:proofErr w:type="spellEnd"/>
      <w:r w:rsidRPr="006B0FEE">
        <w:rPr>
          <w:rFonts w:eastAsia="Calibri" w:cs="Arial"/>
          <w:iCs/>
          <w:szCs w:val="22"/>
          <w:lang w:eastAsia="en-US"/>
        </w:rPr>
        <w:t xml:space="preserve"> 2020 in patients with </w:t>
      </w:r>
      <w:proofErr w:type="spellStart"/>
      <w:r w:rsidRPr="006B0FEE">
        <w:rPr>
          <w:rFonts w:eastAsia="Calibri" w:cs="Arial"/>
          <w:iCs/>
          <w:szCs w:val="22"/>
          <w:lang w:eastAsia="en-US"/>
        </w:rPr>
        <w:t>mCRPC</w:t>
      </w:r>
      <w:proofErr w:type="spellEnd"/>
      <w:r w:rsidRPr="006B0FEE">
        <w:rPr>
          <w:rFonts w:eastAsia="Calibri" w:cs="Arial"/>
          <w:iCs/>
          <w:szCs w:val="22"/>
          <w:lang w:eastAsia="en-US"/>
        </w:rPr>
        <w:t xml:space="preserve"> treated with rucaparib as supportive </w:t>
      </w:r>
      <w:r w:rsidRPr="006B0FEE">
        <w:t>evidence</w:t>
      </w:r>
      <w:r w:rsidRPr="006B0FEE">
        <w:rPr>
          <w:rFonts w:eastAsia="Calibri" w:cs="Arial"/>
          <w:iCs/>
          <w:szCs w:val="22"/>
          <w:lang w:eastAsia="en-US"/>
        </w:rPr>
        <w:t xml:space="preserve"> of the predictive effect. However, the Commentary considered that the predictive effect of the test in this population </w:t>
      </w:r>
      <w:r w:rsidR="00491386">
        <w:rPr>
          <w:rFonts w:eastAsia="Calibri" w:cs="Arial"/>
          <w:iCs/>
          <w:szCs w:val="22"/>
          <w:lang w:eastAsia="en-US"/>
        </w:rPr>
        <w:t>wa</w:t>
      </w:r>
      <w:r w:rsidRPr="006B0FEE">
        <w:rPr>
          <w:rFonts w:eastAsia="Calibri" w:cs="Arial"/>
          <w:iCs/>
          <w:szCs w:val="22"/>
          <w:lang w:eastAsia="en-US"/>
        </w:rPr>
        <w:t>s not applicable to that in patients treated with olaparib given that equivalence between these two PARP inhibitors has not been established.</w:t>
      </w:r>
    </w:p>
    <w:p w14:paraId="2CE8AD47" w14:textId="0805A3DC" w:rsidR="006B0FEE" w:rsidRPr="006B0FEE" w:rsidRDefault="006B0FEE" w:rsidP="006B0FEE">
      <w:pPr>
        <w:rPr>
          <w:rFonts w:eastAsia="Calibri" w:cs="Arial"/>
          <w:iCs/>
          <w:szCs w:val="22"/>
          <w:shd w:val="clear" w:color="auto" w:fill="FFFFFF"/>
          <w:lang w:eastAsia="en-US"/>
        </w:rPr>
      </w:pPr>
      <w:r w:rsidRPr="006B0FEE">
        <w:rPr>
          <w:rFonts w:eastAsia="Calibri" w:cs="Arial"/>
          <w:iCs/>
          <w:szCs w:val="22"/>
          <w:lang w:eastAsia="en-US"/>
        </w:rPr>
        <w:lastRenderedPageBreak/>
        <w:t xml:space="preserve">No attempt was made by the submission to demonstrate the benefit of </w:t>
      </w:r>
      <w:r w:rsidRPr="006B0FEE">
        <w:rPr>
          <w:rFonts w:eastAsia="Calibri" w:cs="Arial"/>
          <w:i/>
          <w:iCs/>
          <w:szCs w:val="22"/>
          <w:lang w:eastAsia="en-US"/>
        </w:rPr>
        <w:t>BRCA1/2</w:t>
      </w:r>
      <w:r w:rsidRPr="006B0FEE">
        <w:rPr>
          <w:rFonts w:eastAsia="Calibri" w:cs="Arial"/>
          <w:iCs/>
          <w:szCs w:val="22"/>
          <w:lang w:eastAsia="en-US"/>
        </w:rPr>
        <w:t xml:space="preserve"> testing by comparing outcomes of olaparib versus NHA for patients with and without </w:t>
      </w:r>
      <w:r w:rsidRPr="006B0FEE">
        <w:rPr>
          <w:rFonts w:eastAsia="Calibri" w:cs="Arial"/>
          <w:i/>
          <w:iCs/>
          <w:szCs w:val="22"/>
          <w:lang w:eastAsia="en-US"/>
        </w:rPr>
        <w:t>BRCA1/2</w:t>
      </w:r>
      <w:r w:rsidRPr="006B0FEE">
        <w:rPr>
          <w:rFonts w:eastAsia="Calibri" w:cs="Arial"/>
          <w:iCs/>
          <w:szCs w:val="22"/>
          <w:lang w:eastAsia="en-US"/>
        </w:rPr>
        <w:t xml:space="preserve"> alterations. Data for patients with and without </w:t>
      </w:r>
      <w:r w:rsidRPr="006B0FEE">
        <w:rPr>
          <w:rFonts w:eastAsia="Calibri" w:cs="Arial"/>
          <w:i/>
          <w:iCs/>
          <w:szCs w:val="22"/>
          <w:lang w:eastAsia="en-US"/>
        </w:rPr>
        <w:t>BRCA1/2</w:t>
      </w:r>
      <w:r w:rsidRPr="006B0FEE">
        <w:rPr>
          <w:rFonts w:eastAsia="Calibri" w:cs="Arial"/>
          <w:iCs/>
          <w:szCs w:val="22"/>
          <w:lang w:eastAsia="en-US"/>
        </w:rPr>
        <w:t xml:space="preserve"> </w:t>
      </w:r>
      <w:r w:rsidRPr="006B0FEE">
        <w:t>pathogenic</w:t>
      </w:r>
      <w:r w:rsidRPr="006B0FEE">
        <w:rPr>
          <w:rFonts w:eastAsia="Calibri" w:cs="Arial"/>
          <w:iCs/>
          <w:szCs w:val="22"/>
          <w:lang w:eastAsia="en-US"/>
        </w:rPr>
        <w:t xml:space="preserve"> </w:t>
      </w:r>
      <w:r w:rsidR="00E370C0">
        <w:rPr>
          <w:rFonts w:eastAsia="Calibri" w:cs="Arial"/>
          <w:iCs/>
          <w:szCs w:val="22"/>
          <w:lang w:eastAsia="en-US"/>
        </w:rPr>
        <w:t>gene</w:t>
      </w:r>
      <w:r w:rsidR="00E370C0" w:rsidRPr="00DD13A3">
        <w:rPr>
          <w:rFonts w:eastAsia="Calibri" w:cs="Arial"/>
          <w:iCs/>
          <w:szCs w:val="22"/>
          <w:lang w:eastAsia="en-US"/>
        </w:rPr>
        <w:t xml:space="preserve"> </w:t>
      </w:r>
      <w:r w:rsidRPr="006B0FEE">
        <w:rPr>
          <w:rFonts w:eastAsia="Calibri" w:cs="Arial"/>
          <w:iCs/>
          <w:szCs w:val="22"/>
          <w:lang w:eastAsia="en-US"/>
        </w:rPr>
        <w:t xml:space="preserve">variants were available from </w:t>
      </w:r>
      <w:proofErr w:type="spellStart"/>
      <w:r w:rsidRPr="006B0FEE">
        <w:rPr>
          <w:rFonts w:eastAsia="Calibri" w:cs="Arial"/>
          <w:iCs/>
          <w:szCs w:val="22"/>
          <w:lang w:eastAsia="en-US"/>
        </w:rPr>
        <w:t>PROfound</w:t>
      </w:r>
      <w:proofErr w:type="spellEnd"/>
      <w:r w:rsidRPr="006B0FEE">
        <w:rPr>
          <w:rFonts w:eastAsia="Calibri" w:cs="Arial"/>
          <w:iCs/>
          <w:szCs w:val="22"/>
          <w:lang w:eastAsia="en-US"/>
        </w:rPr>
        <w:t xml:space="preserve"> (see </w:t>
      </w:r>
      <w:r w:rsidR="006C2E0B">
        <w:rPr>
          <w:rFonts w:eastAsia="Calibri" w:cs="Arial"/>
          <w:iCs/>
          <w:szCs w:val="22"/>
          <w:lang w:eastAsia="en-US"/>
        </w:rPr>
        <w:t>Table 6</w:t>
      </w:r>
      <w:r w:rsidRPr="006B0FEE">
        <w:rPr>
          <w:rFonts w:eastAsia="Calibri" w:cs="Arial"/>
          <w:iCs/>
          <w:szCs w:val="22"/>
          <w:lang w:eastAsia="en-US"/>
        </w:rPr>
        <w:t xml:space="preserve">), but comparative analysis of these two subgroups was not performed by the submission. As with all claims based on subgroup analyses, the Commentary considered clarity over </w:t>
      </w:r>
      <w:proofErr w:type="spellStart"/>
      <w:r w:rsidRPr="006B0FEE">
        <w:rPr>
          <w:rFonts w:eastAsia="Calibri" w:cs="Arial"/>
          <w:iCs/>
          <w:szCs w:val="22"/>
          <w:lang w:eastAsia="en-US"/>
        </w:rPr>
        <w:t>prespecification</w:t>
      </w:r>
      <w:proofErr w:type="spellEnd"/>
      <w:r w:rsidRPr="006B0FEE">
        <w:rPr>
          <w:rFonts w:eastAsia="Calibri" w:cs="Arial"/>
          <w:iCs/>
          <w:szCs w:val="22"/>
          <w:lang w:eastAsia="en-US"/>
        </w:rPr>
        <w:t xml:space="preserve"> of the subgroups, biological rationale for variation in effect, tests for interaction betwee</w:t>
      </w:r>
      <w:r w:rsidRPr="006B0FEE">
        <w:rPr>
          <w:rFonts w:eastAsia="Calibri" w:cs="Arial"/>
          <w:iCs/>
          <w:szCs w:val="22"/>
          <w:shd w:val="clear" w:color="auto" w:fill="FFFFFF"/>
          <w:lang w:eastAsia="en-US"/>
        </w:rPr>
        <w:t xml:space="preserve">n results across the subgroups, and adjustment for multiple subgroup analyses would help to establish the clinical utility of the test in the </w:t>
      </w:r>
      <w:r w:rsidRPr="006B0FEE">
        <w:rPr>
          <w:rFonts w:eastAsia="Calibri" w:cs="Arial"/>
          <w:i/>
          <w:iCs/>
          <w:szCs w:val="22"/>
          <w:shd w:val="clear" w:color="auto" w:fill="FFFFFF"/>
          <w:lang w:eastAsia="en-US"/>
        </w:rPr>
        <w:t>BRCA1/2</w:t>
      </w:r>
      <w:r w:rsidRPr="006B0FEE">
        <w:rPr>
          <w:rFonts w:eastAsia="Calibri" w:cs="Arial"/>
          <w:iCs/>
          <w:szCs w:val="22"/>
          <w:shd w:val="clear" w:color="auto" w:fill="FFFFFF"/>
          <w:lang w:eastAsia="en-US"/>
        </w:rPr>
        <w:t xml:space="preserve"> subgroup compared to the ITT population of Cohort A. Some of these points were addressed in the pre-ESCs response, primarily with reference to the secondary outcome of progression-free survival (PFS).</w:t>
      </w:r>
    </w:p>
    <w:p w14:paraId="07A80FF3" w14:textId="3F0F8D0C" w:rsidR="006B0FEE" w:rsidRPr="006B0FEE" w:rsidRDefault="006B0FEE" w:rsidP="007C2DC0">
      <w:pPr>
        <w:spacing w:before="240"/>
        <w:rPr>
          <w:rFonts w:eastAsia="Calibri" w:cs="Arial"/>
          <w:iCs/>
          <w:szCs w:val="22"/>
          <w:shd w:val="clear" w:color="auto" w:fill="FFFFFF"/>
          <w:lang w:eastAsia="en-US"/>
        </w:rPr>
      </w:pPr>
      <w:r w:rsidRPr="006B0FEE">
        <w:rPr>
          <w:rFonts w:eastAsia="Calibri" w:cs="Arial"/>
          <w:iCs/>
          <w:szCs w:val="22"/>
          <w:shd w:val="clear" w:color="auto" w:fill="FFFFFF"/>
          <w:lang w:eastAsia="en-US"/>
        </w:rPr>
        <w:t xml:space="preserve">The TGA delegate’s overview stated that the F1CDx has “clinical utility in this setting and …[is] an appropriate companion diagnostic for this indication”. The delegate’s assessment appeared to be based on an exploratory analysis (not presented in the submission) showing consistent survival outcomes for patients whose HRR status were reconfirmed using FMI F1CDx </w:t>
      </w:r>
      <w:r w:rsidRPr="006B0FEE">
        <w:t>computation</w:t>
      </w:r>
      <w:r w:rsidRPr="006B0FEE">
        <w:rPr>
          <w:rFonts w:eastAsia="Calibri" w:cs="Arial"/>
          <w:iCs/>
          <w:szCs w:val="22"/>
          <w:shd w:val="clear" w:color="auto" w:fill="FFFFFF"/>
          <w:lang w:eastAsia="en-US"/>
        </w:rPr>
        <w:t xml:space="preserve"> rules compared to the Foundation Medicine Inc HRR Clinical Trial Assay (CTA) rules used at trial recruitment. This analysis, however, did not compare outcomes of olaparib treatment in patients with and without </w:t>
      </w:r>
      <w:r w:rsidRPr="006B0FEE">
        <w:rPr>
          <w:rFonts w:eastAsia="Calibri" w:cs="Arial"/>
          <w:i/>
          <w:iCs/>
          <w:szCs w:val="22"/>
          <w:shd w:val="clear" w:color="auto" w:fill="FFFFFF"/>
          <w:lang w:eastAsia="en-US"/>
        </w:rPr>
        <w:t>BRCA1/2</w:t>
      </w:r>
      <w:r w:rsidRPr="006B0FEE">
        <w:rPr>
          <w:rFonts w:eastAsia="Calibri" w:cs="Arial"/>
          <w:iCs/>
          <w:szCs w:val="22"/>
          <w:shd w:val="clear" w:color="auto" w:fill="FFFFFF"/>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6B0FEE">
        <w:rPr>
          <w:rFonts w:eastAsia="Calibri" w:cs="Arial"/>
          <w:iCs/>
          <w:szCs w:val="22"/>
          <w:shd w:val="clear" w:color="auto" w:fill="FFFFFF"/>
          <w:lang w:eastAsia="en-US"/>
        </w:rPr>
        <w:t>variants, and therefore the clinical utility of the</w:t>
      </w:r>
      <w:r w:rsidR="00491386">
        <w:rPr>
          <w:rFonts w:eastAsia="Calibri" w:cs="Arial"/>
          <w:iCs/>
          <w:szCs w:val="22"/>
          <w:shd w:val="clear" w:color="auto" w:fill="FFFFFF"/>
          <w:lang w:eastAsia="en-US"/>
        </w:rPr>
        <w:t xml:space="preserve"> </w:t>
      </w:r>
      <w:r w:rsidR="00491386" w:rsidRPr="006B0FEE">
        <w:rPr>
          <w:rFonts w:eastAsia="Calibri" w:cs="Arial"/>
          <w:iCs/>
          <w:szCs w:val="22"/>
          <w:shd w:val="clear" w:color="auto" w:fill="FFFFFF"/>
          <w:lang w:eastAsia="en-US"/>
        </w:rPr>
        <w:t>F1CDx</w:t>
      </w:r>
      <w:r w:rsidRPr="006B0FEE">
        <w:rPr>
          <w:rFonts w:eastAsia="Calibri" w:cs="Arial"/>
          <w:iCs/>
          <w:szCs w:val="22"/>
          <w:shd w:val="clear" w:color="auto" w:fill="FFFFFF"/>
          <w:lang w:eastAsia="en-US"/>
        </w:rPr>
        <w:t xml:space="preserve"> test c</w:t>
      </w:r>
      <w:r w:rsidR="00491386">
        <w:rPr>
          <w:rFonts w:eastAsia="Calibri" w:cs="Arial"/>
          <w:iCs/>
          <w:szCs w:val="22"/>
          <w:shd w:val="clear" w:color="auto" w:fill="FFFFFF"/>
          <w:lang w:eastAsia="en-US"/>
        </w:rPr>
        <w:t xml:space="preserve">ould </w:t>
      </w:r>
      <w:r w:rsidRPr="006B0FEE">
        <w:rPr>
          <w:rFonts w:eastAsia="Calibri" w:cs="Arial"/>
          <w:iCs/>
          <w:szCs w:val="22"/>
          <w:shd w:val="clear" w:color="auto" w:fill="FFFFFF"/>
          <w:lang w:eastAsia="en-US"/>
        </w:rPr>
        <w:t>not be fully established. It is important to demonstrate that the population that would have been excluded from accessing the medicine by the test result should not experience harm or forgone benefit as a consequence of not receiving the medicine after a negative test result.</w:t>
      </w:r>
    </w:p>
    <w:p w14:paraId="557884C3" w14:textId="77777777" w:rsidR="006B0FEE" w:rsidRPr="006B0FEE" w:rsidRDefault="006B0FEE" w:rsidP="007C2DC0">
      <w:pPr>
        <w:keepNext/>
        <w:keepLines/>
        <w:numPr>
          <w:ilvl w:val="6"/>
          <w:numId w:val="31"/>
        </w:numPr>
        <w:spacing w:before="240" w:after="120"/>
        <w:jc w:val="both"/>
        <w:outlineLvl w:val="1"/>
        <w:rPr>
          <w:rFonts w:eastAsia="SimSun"/>
          <w:i/>
          <w:snapToGrid w:val="0"/>
          <w:szCs w:val="28"/>
          <w:lang w:eastAsia="en-GB"/>
        </w:rPr>
      </w:pPr>
      <w:r w:rsidRPr="006B0FEE">
        <w:rPr>
          <w:rFonts w:eastAsia="SimSun"/>
          <w:i/>
          <w:snapToGrid w:val="0"/>
          <w:szCs w:val="28"/>
          <w:lang w:eastAsia="en-GB"/>
        </w:rPr>
        <w:t>Comparative analytical performance</w:t>
      </w:r>
    </w:p>
    <w:p w14:paraId="4D5982E7" w14:textId="1A5276DD" w:rsidR="006B0FEE" w:rsidRPr="006B0FEE" w:rsidRDefault="006B0FEE" w:rsidP="006B0FEE">
      <w:pPr>
        <w:rPr>
          <w:rFonts w:eastAsia="Calibri" w:cs="Arial"/>
          <w:szCs w:val="22"/>
          <w:lang w:eastAsia="en-US"/>
        </w:rPr>
      </w:pPr>
      <w:r w:rsidRPr="006B0FEE">
        <w:rPr>
          <w:rFonts w:eastAsia="Calibri" w:cs="Arial"/>
          <w:szCs w:val="22"/>
          <w:lang w:eastAsia="en-US"/>
        </w:rPr>
        <w:t xml:space="preserve">The submission did not present any studies on the diagnostic accuracy of the proposed tests compared to a reference standard in tissue samples from </w:t>
      </w:r>
      <w:proofErr w:type="spellStart"/>
      <w:r w:rsidRPr="006B0FEE">
        <w:t>mCRPC</w:t>
      </w:r>
      <w:proofErr w:type="spellEnd"/>
      <w:r w:rsidRPr="006B0FEE">
        <w:rPr>
          <w:rFonts w:eastAsia="Calibri" w:cs="Arial"/>
          <w:szCs w:val="22"/>
          <w:lang w:eastAsia="en-US"/>
        </w:rPr>
        <w:t xml:space="preserve"> patients.</w:t>
      </w:r>
      <w:r w:rsidR="00491386">
        <w:rPr>
          <w:rFonts w:eastAsia="Calibri" w:cs="Arial"/>
          <w:szCs w:val="22"/>
          <w:lang w:eastAsia="en-US"/>
        </w:rPr>
        <w:t xml:space="preserve"> </w:t>
      </w:r>
      <w:r w:rsidRPr="006B0FEE">
        <w:rPr>
          <w:rFonts w:eastAsia="Calibri" w:cs="Arial"/>
          <w:szCs w:val="22"/>
          <w:lang w:eastAsia="en-US"/>
        </w:rPr>
        <w:t xml:space="preserve">The reference standard for analytical validity stated in the ratified PICO was testing of high-quality DNA obtained from fresh tissue (p2, </w:t>
      </w:r>
      <w:hyperlink r:id="rId36" w:history="1">
        <w:r w:rsidRPr="006B0FEE">
          <w:rPr>
            <w:rFonts w:eastAsia="Calibri" w:cs="Arial"/>
            <w:color w:val="0000FF"/>
            <w:szCs w:val="22"/>
            <w:u w:val="single"/>
            <w:lang w:eastAsia="en-US"/>
          </w:rPr>
          <w:t>Application 1618 Ratified PICO</w:t>
        </w:r>
      </w:hyperlink>
      <w:r w:rsidRPr="006B0FEE">
        <w:rPr>
          <w:rFonts w:eastAsia="Calibri" w:cs="Arial"/>
          <w:szCs w:val="22"/>
          <w:lang w:eastAsia="en-US"/>
        </w:rPr>
        <w:t xml:space="preserve">). The PICO also recommended the </w:t>
      </w:r>
      <w:r w:rsidRPr="006B0FEE">
        <w:t>evidentiary</w:t>
      </w:r>
      <w:r w:rsidRPr="006B0FEE">
        <w:rPr>
          <w:rFonts w:eastAsia="Calibri" w:cs="Arial"/>
          <w:szCs w:val="22"/>
          <w:lang w:eastAsia="en-US"/>
        </w:rPr>
        <w:t xml:space="preserve"> standard test should be defined, against which the likely alternative test options (available in Australia) should be compared (p13, </w:t>
      </w:r>
      <w:hyperlink r:id="rId37" w:history="1">
        <w:r w:rsidRPr="006B0FEE">
          <w:rPr>
            <w:rFonts w:eastAsia="Calibri" w:cs="Arial"/>
            <w:color w:val="0000FF"/>
            <w:szCs w:val="22"/>
            <w:u w:val="single"/>
            <w:lang w:eastAsia="en-US"/>
          </w:rPr>
          <w:t>Application 1618 Ratified PICO</w:t>
        </w:r>
      </w:hyperlink>
      <w:r w:rsidRPr="006B0FEE">
        <w:rPr>
          <w:rFonts w:eastAsia="Calibri" w:cs="Arial"/>
          <w:szCs w:val="22"/>
          <w:lang w:eastAsia="en-US"/>
        </w:rPr>
        <w:t xml:space="preserve">). </w:t>
      </w:r>
      <w:r w:rsidRPr="006B0FEE">
        <w:rPr>
          <w:rFonts w:eastAsia="Calibri" w:cs="Arial"/>
          <w:iCs/>
          <w:szCs w:val="22"/>
          <w:lang w:eastAsia="en-US"/>
        </w:rPr>
        <w:t>The submission did not provide any evidence to support the comparison of FFPE-extracted DNA to DNA extracted from fresh tissue.</w:t>
      </w:r>
    </w:p>
    <w:p w14:paraId="56198839" w14:textId="073B75C2" w:rsidR="006B0FEE" w:rsidRPr="006B0FEE" w:rsidRDefault="006B0FEE" w:rsidP="007C2DC0">
      <w:pPr>
        <w:spacing w:before="240"/>
        <w:rPr>
          <w:rFonts w:eastAsia="Calibri" w:cs="Arial"/>
          <w:iCs/>
          <w:szCs w:val="22"/>
          <w:lang w:eastAsia="en-US"/>
        </w:rPr>
      </w:pPr>
      <w:r w:rsidRPr="006B0FEE">
        <w:rPr>
          <w:rFonts w:eastAsia="Calibri" w:cs="Arial"/>
          <w:iCs/>
          <w:szCs w:val="22"/>
          <w:lang w:eastAsia="en-US"/>
        </w:rPr>
        <w:t>The Commentary noted that the submission did not identify an appropriate reference standard</w:t>
      </w:r>
      <w:r w:rsidRPr="006B0FEE">
        <w:rPr>
          <w:rFonts w:eastAsia="Calibri" w:cs="Arial"/>
          <w:szCs w:val="22"/>
          <w:lang w:eastAsia="en-US"/>
        </w:rPr>
        <w:t xml:space="preserve">, rather the submission stated that analytical validity may be determined using commercially available reference standard cell lines. </w:t>
      </w:r>
      <w:r w:rsidRPr="006B0FEE">
        <w:rPr>
          <w:rFonts w:eastAsia="Calibri" w:cs="Arial"/>
          <w:iCs/>
          <w:szCs w:val="22"/>
          <w:lang w:eastAsia="en-US"/>
        </w:rPr>
        <w:t>The Commentary noted that cell lines are used to validate specific testing methods, but these are not reference standard tests (such as Sanger sequencing). In previous submissions (</w:t>
      </w:r>
      <w:hyperlink r:id="rId38" w:history="1">
        <w:r w:rsidRPr="006B0FEE">
          <w:rPr>
            <w:rFonts w:eastAsia="Calibri" w:cs="Arial"/>
            <w:iCs/>
            <w:color w:val="0000FF"/>
            <w:szCs w:val="22"/>
            <w:u w:val="single"/>
            <w:lang w:eastAsia="en-US"/>
          </w:rPr>
          <w:t>MSAC 1380</w:t>
        </w:r>
      </w:hyperlink>
      <w:r w:rsidRPr="006B0FEE">
        <w:rPr>
          <w:rFonts w:eastAsia="Calibri" w:cs="Arial"/>
          <w:iCs/>
          <w:szCs w:val="22"/>
          <w:lang w:eastAsia="en-US"/>
        </w:rPr>
        <w:t xml:space="preserve">, </w:t>
      </w:r>
      <w:hyperlink r:id="rId39" w:history="1">
        <w:r w:rsidRPr="006B0FEE">
          <w:rPr>
            <w:rFonts w:eastAsia="Calibri" w:cs="Arial"/>
            <w:iCs/>
            <w:color w:val="0000FF"/>
            <w:szCs w:val="22"/>
            <w:u w:val="single"/>
            <w:lang w:eastAsia="en-US"/>
          </w:rPr>
          <w:t>MSAC 1554</w:t>
        </w:r>
      </w:hyperlink>
      <w:r w:rsidRPr="006B0FEE">
        <w:rPr>
          <w:rFonts w:eastAsia="Calibri" w:cs="Arial"/>
          <w:iCs/>
          <w:szCs w:val="22"/>
          <w:lang w:eastAsia="en-US"/>
        </w:rPr>
        <w:t xml:space="preserve">), reference standard tests identified included: 1) Sanger sequencing plus MLPA of tumour tissue and 2) repeat NGS with confirmatory Sanger sequencing of all variants. In the absence of an accepted reference standard, the analytical validity of the proposed tests (i.e. a comparison of the results of different tests against those of an accepted reference standard) could not be established. </w:t>
      </w:r>
    </w:p>
    <w:p w14:paraId="0D85C241" w14:textId="150462F2" w:rsidR="006B0FEE" w:rsidRPr="006B0FEE" w:rsidRDefault="006B0FEE" w:rsidP="007C2DC0">
      <w:pPr>
        <w:spacing w:before="240"/>
        <w:rPr>
          <w:rFonts w:eastAsia="Calibri" w:cs="Arial"/>
          <w:bCs/>
          <w:iCs/>
          <w:szCs w:val="22"/>
          <w:lang w:eastAsia="en-US"/>
        </w:rPr>
      </w:pPr>
      <w:r w:rsidRPr="006B0FEE">
        <w:rPr>
          <w:rFonts w:eastAsia="Calibri" w:cs="Arial"/>
          <w:iCs/>
          <w:szCs w:val="22"/>
          <w:lang w:eastAsia="en-US"/>
        </w:rPr>
        <w:t xml:space="preserve">Instead, the submission presented analytical concordance of the proposed tests versus other NGS-based methods (i.e. a comparison of the results </w:t>
      </w:r>
      <w:r w:rsidRPr="006B0FEE">
        <w:t>of</w:t>
      </w:r>
      <w:r w:rsidRPr="006B0FEE">
        <w:rPr>
          <w:rFonts w:eastAsia="Calibri" w:cs="Arial"/>
          <w:iCs/>
          <w:szCs w:val="22"/>
          <w:lang w:eastAsia="en-US"/>
        </w:rPr>
        <w:t xml:space="preserve"> different tests using the same target samples).</w:t>
      </w:r>
    </w:p>
    <w:p w14:paraId="6456565A" w14:textId="1F1436FE" w:rsidR="006B0FEE" w:rsidRPr="006B0FEE" w:rsidRDefault="006B0FEE" w:rsidP="007C2DC0">
      <w:pPr>
        <w:spacing w:before="240"/>
        <w:rPr>
          <w:rFonts w:eastAsia="Calibri" w:cs="Arial"/>
          <w:iCs/>
          <w:szCs w:val="22"/>
          <w:lang w:eastAsia="en-US"/>
        </w:rPr>
      </w:pPr>
      <w:r w:rsidRPr="006B0FEE">
        <w:rPr>
          <w:rFonts w:eastAsia="Calibri" w:cs="Arial"/>
          <w:szCs w:val="22"/>
          <w:lang w:eastAsia="en-US"/>
        </w:rPr>
        <w:t>The submission mentioned the FDA label document (although this was not provided) to support the analytical validity of F1CDx</w:t>
      </w:r>
      <w:r w:rsidRPr="006B0FEE">
        <w:rPr>
          <w:rFonts w:eastAsia="Calibri" w:cs="Arial"/>
          <w:iCs/>
          <w:szCs w:val="22"/>
          <w:lang w:eastAsia="en-US"/>
        </w:rPr>
        <w:t xml:space="preserve">. This document included a summary of concordance studies of F1CDx and other NGS-based methods in a variety of </w:t>
      </w:r>
      <w:r w:rsidRPr="006B0FEE">
        <w:t>tissue</w:t>
      </w:r>
      <w:r w:rsidRPr="006B0FEE">
        <w:rPr>
          <w:rFonts w:eastAsia="Calibri" w:cs="Arial"/>
          <w:iCs/>
          <w:szCs w:val="22"/>
          <w:lang w:eastAsia="en-US"/>
        </w:rPr>
        <w:t xml:space="preserve"> samples to assess </w:t>
      </w:r>
      <w:r w:rsidRPr="006B0FEE">
        <w:rPr>
          <w:rFonts w:eastAsia="Calibri" w:cs="Arial"/>
          <w:iCs/>
          <w:szCs w:val="22"/>
          <w:lang w:eastAsia="en-US"/>
        </w:rPr>
        <w:lastRenderedPageBreak/>
        <w:t xml:space="preserve">various </w:t>
      </w:r>
      <w:r w:rsidR="00925766">
        <w:rPr>
          <w:rFonts w:eastAsia="Calibri" w:cs="Arial"/>
          <w:iCs/>
          <w:szCs w:val="22"/>
          <w:lang w:eastAsia="en-US"/>
        </w:rPr>
        <w:t>genetic variants</w:t>
      </w:r>
      <w:r w:rsidRPr="006B0FEE">
        <w:rPr>
          <w:rFonts w:eastAsia="Calibri" w:cs="Arial"/>
          <w:iCs/>
          <w:szCs w:val="22"/>
          <w:lang w:eastAsia="en-US"/>
        </w:rPr>
        <w:t>. T</w:t>
      </w:r>
      <w:r w:rsidRPr="006B0FEE">
        <w:rPr>
          <w:rFonts w:eastAsia="Calibri"/>
          <w:iCs/>
          <w:szCs w:val="24"/>
          <w:lang w:eastAsia="en-GB"/>
        </w:rPr>
        <w:t xml:space="preserve">he concordance studies presented a range of HRR variants, but did not provide separate results for </w:t>
      </w:r>
      <w:r w:rsidRPr="006B0FEE">
        <w:rPr>
          <w:rFonts w:eastAsia="Calibri"/>
          <w:i/>
          <w:iCs/>
          <w:szCs w:val="24"/>
          <w:lang w:eastAsia="en-GB"/>
        </w:rPr>
        <w:t>BRCA1/2</w:t>
      </w:r>
      <w:r w:rsidRPr="006B0FEE">
        <w:rPr>
          <w:rFonts w:eastAsia="Calibri"/>
          <w:iCs/>
          <w:szCs w:val="24"/>
          <w:lang w:eastAsia="en-GB"/>
        </w:rPr>
        <w:t xml:space="preserve"> pathologic variants.</w:t>
      </w:r>
      <w:r w:rsidRPr="006B0FEE">
        <w:rPr>
          <w:rFonts w:eastAsia="Calibri" w:cs="Arial"/>
          <w:iCs/>
          <w:szCs w:val="22"/>
          <w:lang w:eastAsia="en-US"/>
        </w:rPr>
        <w:t xml:space="preserve"> There were no references to any published studies, and none of these summaries reported sensitivity or specificity of the test to accurately detect </w:t>
      </w:r>
      <w:r w:rsidRPr="006B0FEE">
        <w:rPr>
          <w:rFonts w:eastAsia="Calibri" w:cs="Arial"/>
          <w:i/>
          <w:iCs/>
          <w:szCs w:val="22"/>
          <w:lang w:eastAsia="en-US"/>
        </w:rPr>
        <w:t>BRCA1/2</w:t>
      </w:r>
      <w:r w:rsidRPr="006B0FEE">
        <w:rPr>
          <w:rFonts w:eastAsia="Calibri" w:cs="Arial"/>
          <w:iCs/>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6B0FEE">
        <w:rPr>
          <w:rFonts w:eastAsia="Calibri" w:cs="Arial"/>
          <w:iCs/>
          <w:szCs w:val="22"/>
          <w:lang w:eastAsia="en-US"/>
        </w:rPr>
        <w:t>variants in prostate tissue.</w:t>
      </w:r>
    </w:p>
    <w:p w14:paraId="0E647EEC" w14:textId="3BDDBFA0" w:rsidR="006B0FEE" w:rsidRPr="006B0FEE" w:rsidRDefault="006B0FEE" w:rsidP="007C2DC0">
      <w:pPr>
        <w:spacing w:before="240"/>
        <w:rPr>
          <w:rFonts w:eastAsia="Calibri" w:cs="Arial"/>
          <w:i/>
          <w:iCs/>
          <w:szCs w:val="22"/>
          <w:lang w:eastAsia="en-US"/>
        </w:rPr>
      </w:pPr>
      <w:r w:rsidRPr="006B0FEE">
        <w:rPr>
          <w:rFonts w:eastAsia="Calibri" w:cs="Arial"/>
          <w:szCs w:val="22"/>
          <w:lang w:eastAsia="en-US"/>
        </w:rPr>
        <w:t xml:space="preserve">The submission included a validation report developed by the PMCC in Melbourne of the commercial </w:t>
      </w:r>
      <w:proofErr w:type="spellStart"/>
      <w:r w:rsidRPr="006B0FEE">
        <w:rPr>
          <w:rFonts w:eastAsia="Calibri" w:cs="Arial"/>
          <w:szCs w:val="22"/>
          <w:lang w:eastAsia="en-US"/>
        </w:rPr>
        <w:t>QIAseq</w:t>
      </w:r>
      <w:proofErr w:type="spellEnd"/>
      <w:r w:rsidRPr="006B0FEE">
        <w:rPr>
          <w:rFonts w:eastAsia="Calibri" w:cs="Arial"/>
          <w:szCs w:val="22"/>
          <w:lang w:eastAsia="en-US"/>
        </w:rPr>
        <w:t xml:space="preserve"> targeted DNA extended panel</w:t>
      </w:r>
      <w:r w:rsidRPr="006B0FEE">
        <w:rPr>
          <w:rFonts w:eastAsia="Calibri" w:cs="Arial"/>
          <w:szCs w:val="22"/>
          <w:vertAlign w:val="superscript"/>
          <w:lang w:eastAsia="en-US"/>
        </w:rPr>
        <w:footnoteReference w:id="12"/>
      </w:r>
      <w:r w:rsidRPr="006B0FEE">
        <w:rPr>
          <w:rFonts w:eastAsia="Calibri" w:cs="Arial"/>
          <w:szCs w:val="22"/>
          <w:lang w:eastAsia="en-US"/>
        </w:rPr>
        <w:t xml:space="preserve"> for </w:t>
      </w:r>
      <w:r w:rsidRPr="006B0FEE">
        <w:t>NGS</w:t>
      </w:r>
      <w:r w:rsidRPr="006B0FEE">
        <w:rPr>
          <w:rFonts w:eastAsia="Calibri" w:cs="Arial"/>
          <w:szCs w:val="22"/>
          <w:lang w:eastAsia="en-US"/>
        </w:rPr>
        <w:t xml:space="preserve">. </w:t>
      </w:r>
      <w:r w:rsidRPr="006B0FEE">
        <w:rPr>
          <w:rFonts w:eastAsia="Calibri" w:cs="Arial"/>
          <w:iCs/>
          <w:szCs w:val="22"/>
          <w:lang w:eastAsia="en-US"/>
        </w:rPr>
        <w:t xml:space="preserve">However, the Commentary highlighted that the sensitivity and specificity of the </w:t>
      </w:r>
      <w:proofErr w:type="spellStart"/>
      <w:r w:rsidRPr="006B0FEE">
        <w:rPr>
          <w:rFonts w:eastAsia="Calibri" w:cs="Arial"/>
          <w:iCs/>
          <w:szCs w:val="22"/>
          <w:lang w:eastAsia="en-US"/>
        </w:rPr>
        <w:t>QIAseq</w:t>
      </w:r>
      <w:proofErr w:type="spellEnd"/>
      <w:r w:rsidRPr="006B0FEE">
        <w:rPr>
          <w:rFonts w:eastAsia="Calibri" w:cs="Arial"/>
          <w:iCs/>
          <w:szCs w:val="22"/>
          <w:lang w:eastAsia="en-US"/>
        </w:rPr>
        <w:t xml:space="preserve"> NGS to detect </w:t>
      </w:r>
      <w:r w:rsidRPr="006B0FEE">
        <w:rPr>
          <w:rFonts w:eastAsia="Calibri" w:cs="Arial"/>
          <w:i/>
          <w:iCs/>
          <w:szCs w:val="22"/>
          <w:lang w:eastAsia="en-US"/>
        </w:rPr>
        <w:t>BRCA1/2</w:t>
      </w:r>
      <w:r w:rsidRPr="006B0FEE">
        <w:rPr>
          <w:rFonts w:eastAsia="Calibri" w:cs="Arial"/>
          <w:iCs/>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6B0FEE">
        <w:rPr>
          <w:rFonts w:eastAsia="Calibri" w:cs="Arial"/>
          <w:iCs/>
          <w:szCs w:val="22"/>
          <w:lang w:eastAsia="en-US"/>
        </w:rPr>
        <w:t>variants in prostate cancer was not reported.</w:t>
      </w:r>
    </w:p>
    <w:p w14:paraId="21A71A22" w14:textId="3D244D13" w:rsidR="006B0FEE" w:rsidRPr="006B0FEE" w:rsidRDefault="006B0FEE" w:rsidP="007C2DC0">
      <w:pPr>
        <w:spacing w:before="240"/>
        <w:rPr>
          <w:rFonts w:eastAsia="Calibri"/>
          <w:i/>
          <w:iCs/>
          <w:szCs w:val="24"/>
          <w:lang w:eastAsia="en-GB"/>
        </w:rPr>
      </w:pPr>
      <w:r w:rsidRPr="006B0FEE">
        <w:rPr>
          <w:rFonts w:eastAsia="Calibri"/>
          <w:szCs w:val="24"/>
          <w:lang w:eastAsia="en-GB"/>
        </w:rPr>
        <w:t xml:space="preserve">The submission stated the validation was an extension of the currently used </w:t>
      </w:r>
      <w:r w:rsidRPr="006B0FEE">
        <w:rPr>
          <w:rFonts w:eastAsia="Calibri"/>
          <w:i/>
          <w:iCs/>
          <w:szCs w:val="24"/>
          <w:lang w:eastAsia="en-GB"/>
        </w:rPr>
        <w:t>BRCA1/2</w:t>
      </w:r>
      <w:r w:rsidRPr="006B0FEE">
        <w:rPr>
          <w:rFonts w:eastAsia="Calibri"/>
          <w:szCs w:val="24"/>
          <w:lang w:eastAsia="en-GB"/>
        </w:rPr>
        <w:t xml:space="preserve"> </w:t>
      </w:r>
      <w:proofErr w:type="spellStart"/>
      <w:r w:rsidRPr="006B0FEE">
        <w:rPr>
          <w:rFonts w:eastAsia="Calibri"/>
          <w:szCs w:val="24"/>
          <w:lang w:eastAsia="en-GB"/>
        </w:rPr>
        <w:t>QIAseq</w:t>
      </w:r>
      <w:proofErr w:type="spellEnd"/>
      <w:r w:rsidRPr="006B0FEE">
        <w:rPr>
          <w:rFonts w:eastAsia="Calibri"/>
          <w:szCs w:val="24"/>
          <w:lang w:eastAsia="en-GB"/>
        </w:rPr>
        <w:t xml:space="preserve"> assay to include other genes and regions. </w:t>
      </w:r>
      <w:r w:rsidRPr="006B0FEE">
        <w:rPr>
          <w:rFonts w:eastAsia="Calibri"/>
          <w:iCs/>
          <w:szCs w:val="24"/>
          <w:lang w:eastAsia="en-GB"/>
        </w:rPr>
        <w:t xml:space="preserve">The PMCC report referred to the validation report MP-VAL-MF03B for the validation of this </w:t>
      </w:r>
      <w:r w:rsidRPr="006B0FEE">
        <w:t>previous</w:t>
      </w:r>
      <w:r w:rsidRPr="006B0FEE">
        <w:rPr>
          <w:rFonts w:eastAsia="Calibri"/>
          <w:iCs/>
          <w:szCs w:val="24"/>
          <w:lang w:eastAsia="en-GB"/>
        </w:rPr>
        <w:t xml:space="preserve"> </w:t>
      </w:r>
      <w:proofErr w:type="spellStart"/>
      <w:r w:rsidRPr="006B0FEE">
        <w:rPr>
          <w:rFonts w:eastAsia="Calibri"/>
          <w:iCs/>
          <w:szCs w:val="24"/>
          <w:lang w:eastAsia="en-GB"/>
        </w:rPr>
        <w:t>QIAseq</w:t>
      </w:r>
      <w:proofErr w:type="spellEnd"/>
      <w:r w:rsidRPr="006B0FEE">
        <w:rPr>
          <w:rFonts w:eastAsia="Calibri"/>
          <w:iCs/>
          <w:szCs w:val="24"/>
          <w:lang w:eastAsia="en-GB"/>
        </w:rPr>
        <w:t xml:space="preserve"> assay, but this was not provided in the submission.</w:t>
      </w:r>
    </w:p>
    <w:p w14:paraId="44FCC1C2" w14:textId="256A76A2" w:rsidR="006B0FEE" w:rsidRPr="006B0FEE" w:rsidRDefault="006B0FEE" w:rsidP="007C2DC0">
      <w:pPr>
        <w:spacing w:before="240"/>
        <w:rPr>
          <w:rFonts w:eastAsia="Calibri" w:cs="Arial"/>
          <w:iCs/>
          <w:szCs w:val="22"/>
          <w:lang w:eastAsia="en-US"/>
        </w:rPr>
      </w:pPr>
      <w:r w:rsidRPr="006B0FEE">
        <w:rPr>
          <w:rFonts w:eastAsia="Calibri" w:cs="Arial"/>
          <w:szCs w:val="22"/>
          <w:lang w:eastAsia="en-US"/>
        </w:rPr>
        <w:t xml:space="preserve">The PMCC validation report in the submission included 16 clinical and research DNA samples, with 80 known variants detected across 7 different genes. All variants were detected by the </w:t>
      </w:r>
      <w:proofErr w:type="spellStart"/>
      <w:r w:rsidRPr="006B0FEE">
        <w:rPr>
          <w:rFonts w:eastAsia="Calibri" w:cs="Arial"/>
          <w:szCs w:val="22"/>
          <w:lang w:eastAsia="en-US"/>
        </w:rPr>
        <w:t>QIAseq</w:t>
      </w:r>
      <w:proofErr w:type="spellEnd"/>
      <w:r w:rsidRPr="006B0FEE">
        <w:rPr>
          <w:rFonts w:eastAsia="Calibri" w:cs="Arial"/>
          <w:szCs w:val="22"/>
          <w:lang w:eastAsia="en-US"/>
        </w:rPr>
        <w:t xml:space="preserve">-Illumina </w:t>
      </w:r>
      <w:proofErr w:type="spellStart"/>
      <w:r w:rsidRPr="006B0FEE">
        <w:rPr>
          <w:rFonts w:eastAsia="Calibri" w:cs="Arial"/>
          <w:szCs w:val="22"/>
          <w:lang w:eastAsia="en-US"/>
        </w:rPr>
        <w:t>MiSeq</w:t>
      </w:r>
      <w:proofErr w:type="spellEnd"/>
      <w:r w:rsidRPr="006B0FEE">
        <w:rPr>
          <w:rFonts w:eastAsia="Calibri" w:cs="Arial"/>
          <w:szCs w:val="22"/>
          <w:lang w:eastAsia="en-US"/>
        </w:rPr>
        <w:t xml:space="preserve">® technology, with no false </w:t>
      </w:r>
      <w:r w:rsidRPr="006B0FEE">
        <w:t>positives</w:t>
      </w:r>
      <w:r w:rsidRPr="006B0FEE">
        <w:rPr>
          <w:rFonts w:eastAsia="Calibri" w:cs="Arial"/>
          <w:szCs w:val="22"/>
          <w:lang w:eastAsia="en-US"/>
        </w:rPr>
        <w:t xml:space="preserve"> or false negatives. </w:t>
      </w:r>
      <w:r w:rsidRPr="006B0FEE">
        <w:rPr>
          <w:rFonts w:eastAsia="Calibri" w:cs="Arial"/>
          <w:iCs/>
          <w:szCs w:val="22"/>
          <w:lang w:eastAsia="en-US"/>
        </w:rPr>
        <w:t xml:space="preserve">However, these results were not restricted to </w:t>
      </w:r>
      <w:r w:rsidRPr="006B0FEE">
        <w:rPr>
          <w:rFonts w:eastAsia="Calibri" w:cs="Arial"/>
          <w:i/>
          <w:iCs/>
          <w:szCs w:val="22"/>
          <w:lang w:eastAsia="en-US"/>
        </w:rPr>
        <w:t>BRCA1/2</w:t>
      </w:r>
      <w:r w:rsidRPr="006B0FEE">
        <w:rPr>
          <w:rFonts w:eastAsia="Calibri" w:cs="Arial"/>
          <w:iCs/>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6B0FEE">
        <w:rPr>
          <w:rFonts w:eastAsia="Calibri" w:cs="Arial"/>
          <w:iCs/>
          <w:szCs w:val="22"/>
          <w:lang w:eastAsia="en-US"/>
        </w:rPr>
        <w:t xml:space="preserve">variants. Two prostate tissue samples were included, but the variant detected in these samples was ATM. </w:t>
      </w:r>
      <w:r w:rsidRPr="006B0FEE">
        <w:rPr>
          <w:rFonts w:eastAsia="Calibri" w:cs="Arial"/>
          <w:i/>
          <w:iCs/>
          <w:szCs w:val="22"/>
          <w:lang w:eastAsia="en-US"/>
        </w:rPr>
        <w:t>BRCA1/2</w:t>
      </w:r>
      <w:r w:rsidRPr="006B0FEE">
        <w:rPr>
          <w:rFonts w:eastAsia="Calibri" w:cs="Arial"/>
          <w:iCs/>
          <w:szCs w:val="22"/>
          <w:lang w:eastAsia="en-US"/>
        </w:rPr>
        <w:t xml:space="preserve"> were only detected in breast and ovarian tissue (Table 9 of the validation report).</w:t>
      </w:r>
    </w:p>
    <w:p w14:paraId="749D0D7E" w14:textId="113AA6F8" w:rsidR="006B0FEE" w:rsidRPr="006B0FEE" w:rsidRDefault="006B0FEE" w:rsidP="007C2DC0">
      <w:pPr>
        <w:spacing w:before="240"/>
        <w:rPr>
          <w:rFonts w:eastAsia="Calibri" w:cs="Arial"/>
          <w:iCs/>
          <w:szCs w:val="22"/>
          <w:lang w:eastAsia="en-US"/>
        </w:rPr>
      </w:pPr>
      <w:r w:rsidRPr="006B0FEE">
        <w:rPr>
          <w:rFonts w:eastAsia="Calibri" w:cs="Arial"/>
          <w:iCs/>
          <w:szCs w:val="22"/>
          <w:lang w:eastAsia="en-US"/>
        </w:rPr>
        <w:t xml:space="preserve">Based on this data, the submission stated that analytical sensitivity was the lower limit of detection, which was 5%. This value was later converted into a </w:t>
      </w:r>
      <w:r w:rsidRPr="006B0FEE">
        <w:t>diagnostic</w:t>
      </w:r>
      <w:r w:rsidRPr="006B0FEE">
        <w:rPr>
          <w:rFonts w:eastAsia="Calibri" w:cs="Arial"/>
          <w:iCs/>
          <w:szCs w:val="22"/>
          <w:lang w:eastAsia="en-US"/>
        </w:rPr>
        <w:t xml:space="preserve"> sensitivity of 95% in the economic model.</w:t>
      </w:r>
      <w:r w:rsidRPr="006B0FEE">
        <w:rPr>
          <w:rFonts w:eastAsia="Calibri" w:cs="Arial"/>
          <w:i/>
          <w:iCs/>
          <w:szCs w:val="22"/>
          <w:lang w:eastAsia="en-US"/>
        </w:rPr>
        <w:t xml:space="preserve"> </w:t>
      </w:r>
      <w:r w:rsidRPr="006B0FEE">
        <w:rPr>
          <w:rFonts w:eastAsia="Calibri" w:cs="Arial"/>
          <w:iCs/>
          <w:szCs w:val="22"/>
          <w:lang w:eastAsia="en-US"/>
        </w:rPr>
        <w:t>The Commentary considered that this was not appropriate. The limit of detection in chemistry is not equivalent to analytical sensitivity of the test; the higher the analytical sensitivity, the lower the detection limit but diagnostic sensitivity cannot be directly inferred from the lower limit of detection of the technology.</w:t>
      </w:r>
    </w:p>
    <w:p w14:paraId="66AAB3D7" w14:textId="7BE7C84B" w:rsidR="006B0FEE" w:rsidRPr="006B0FEE" w:rsidRDefault="006B0FEE" w:rsidP="007C2DC0">
      <w:pPr>
        <w:spacing w:before="240"/>
        <w:rPr>
          <w:rFonts w:eastAsia="Calibri" w:cs="Arial"/>
          <w:szCs w:val="22"/>
          <w:lang w:eastAsia="en-US"/>
        </w:rPr>
      </w:pPr>
      <w:r w:rsidRPr="006B0FEE">
        <w:rPr>
          <w:rFonts w:eastAsia="Calibri" w:cs="Arial"/>
          <w:szCs w:val="22"/>
          <w:lang w:eastAsia="en-US"/>
        </w:rPr>
        <w:t xml:space="preserve">Further concordance analyses between </w:t>
      </w:r>
      <w:proofErr w:type="spellStart"/>
      <w:r w:rsidRPr="006B0FEE">
        <w:rPr>
          <w:rFonts w:eastAsia="Calibri" w:cs="Arial"/>
          <w:szCs w:val="22"/>
          <w:lang w:eastAsia="en-US"/>
        </w:rPr>
        <w:t>QIAseq</w:t>
      </w:r>
      <w:proofErr w:type="spellEnd"/>
      <w:r w:rsidRPr="006B0FEE">
        <w:rPr>
          <w:rFonts w:eastAsia="Calibri" w:cs="Arial"/>
          <w:szCs w:val="22"/>
          <w:lang w:eastAsia="en-US"/>
        </w:rPr>
        <w:t xml:space="preserve"> and the Familial Risk Cancer Panel (FRCP) assay (germline testing) were conducted using DNA from HapMap cell line NA12878; and between </w:t>
      </w:r>
      <w:proofErr w:type="spellStart"/>
      <w:r w:rsidRPr="006B0FEE">
        <w:rPr>
          <w:rFonts w:eastAsia="Calibri" w:cs="Arial"/>
          <w:szCs w:val="22"/>
          <w:lang w:eastAsia="en-US"/>
        </w:rPr>
        <w:t>QIAseq</w:t>
      </w:r>
      <w:proofErr w:type="spellEnd"/>
      <w:r w:rsidRPr="006B0FEE">
        <w:rPr>
          <w:rFonts w:eastAsia="Calibri" w:cs="Arial"/>
          <w:szCs w:val="22"/>
          <w:lang w:eastAsia="en-US"/>
        </w:rPr>
        <w:t xml:space="preserve"> and Comprehensive Cancer Capture (CPC) Panel (</w:t>
      </w:r>
      <w:r w:rsidRPr="006B0FEE">
        <w:t>tumour</w:t>
      </w:r>
      <w:r w:rsidRPr="006B0FEE">
        <w:rPr>
          <w:rFonts w:eastAsia="Calibri" w:cs="Arial"/>
          <w:szCs w:val="22"/>
          <w:lang w:eastAsia="en-US"/>
        </w:rPr>
        <w:t xml:space="preserve"> testing) using the </w:t>
      </w:r>
      <w:proofErr w:type="spellStart"/>
      <w:r w:rsidRPr="006B0FEE">
        <w:rPr>
          <w:rFonts w:eastAsia="Calibri" w:cs="Arial"/>
          <w:szCs w:val="22"/>
          <w:lang w:eastAsia="en-US"/>
        </w:rPr>
        <w:t>OncoSpan</w:t>
      </w:r>
      <w:proofErr w:type="spellEnd"/>
      <w:r w:rsidRPr="006B0FEE">
        <w:rPr>
          <w:rFonts w:eastAsia="Calibri" w:cs="Arial"/>
          <w:szCs w:val="22"/>
          <w:lang w:eastAsia="en-US"/>
        </w:rPr>
        <w:t xml:space="preserve"> cell line. The submission reported 100% concordance with the 80 variants analysed.</w:t>
      </w:r>
    </w:p>
    <w:p w14:paraId="5D9F46EA" w14:textId="3EF3741A" w:rsidR="006B0FEE" w:rsidRPr="006B0FEE" w:rsidRDefault="006B0FEE" w:rsidP="007C2DC0">
      <w:pPr>
        <w:spacing w:before="240"/>
        <w:rPr>
          <w:rFonts w:eastAsia="Calibri"/>
          <w:i/>
          <w:iCs/>
          <w:szCs w:val="24"/>
          <w:lang w:eastAsia="en-GB"/>
        </w:rPr>
      </w:pPr>
      <w:r w:rsidRPr="006B0FEE">
        <w:rPr>
          <w:rFonts w:eastAsia="Calibri"/>
          <w:iCs/>
          <w:szCs w:val="24"/>
          <w:lang w:eastAsia="en-GB"/>
        </w:rPr>
        <w:t xml:space="preserve">The Commentary considered that it was also unclear whether the performance of F1CDx (the evidentiary test) would be comparable to that of </w:t>
      </w:r>
      <w:proofErr w:type="spellStart"/>
      <w:r w:rsidRPr="006B0FEE">
        <w:rPr>
          <w:rFonts w:eastAsia="Calibri"/>
          <w:iCs/>
          <w:szCs w:val="24"/>
          <w:lang w:eastAsia="en-GB"/>
        </w:rPr>
        <w:t>QIAseq</w:t>
      </w:r>
      <w:proofErr w:type="spellEnd"/>
      <w:r w:rsidRPr="006B0FEE">
        <w:rPr>
          <w:rFonts w:eastAsia="Calibri"/>
          <w:iCs/>
          <w:szCs w:val="24"/>
          <w:lang w:eastAsia="en-GB"/>
        </w:rPr>
        <w:t xml:space="preserve"> panel or the other in-house assays from PMCC, as they were not directly compared. The submission stated the PMCC has completed validation and TGA notification of its NGS testing for both </w:t>
      </w:r>
      <w:r w:rsidRPr="006B0FEE">
        <w:rPr>
          <w:rFonts w:eastAsia="Calibri"/>
          <w:i/>
          <w:iCs/>
          <w:szCs w:val="24"/>
          <w:lang w:eastAsia="en-GB"/>
        </w:rPr>
        <w:t>BRCA1/2</w:t>
      </w:r>
      <w:r w:rsidRPr="006B0FEE">
        <w:rPr>
          <w:rFonts w:eastAsia="Calibri"/>
          <w:iCs/>
          <w:szCs w:val="24"/>
          <w:lang w:eastAsia="en-GB"/>
        </w:rPr>
        <w:t xml:space="preserve"> and other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6B0FEE">
        <w:rPr>
          <w:rFonts w:eastAsia="Calibri"/>
          <w:iCs/>
          <w:szCs w:val="24"/>
          <w:lang w:eastAsia="en-GB"/>
        </w:rPr>
        <w:t xml:space="preserve">variants in prostate cancer, but no TGA documentation was provided during the evaluation. It was also unclear which NGS test the submission referred to when stating “their NGS testing”, as the PMCC report compared the </w:t>
      </w:r>
      <w:proofErr w:type="spellStart"/>
      <w:r w:rsidRPr="006B0FEE">
        <w:rPr>
          <w:rFonts w:eastAsia="Calibri"/>
          <w:iCs/>
          <w:szCs w:val="24"/>
          <w:lang w:eastAsia="en-GB"/>
        </w:rPr>
        <w:t>QIAseq</w:t>
      </w:r>
      <w:proofErr w:type="spellEnd"/>
      <w:r w:rsidRPr="006B0FEE">
        <w:rPr>
          <w:rFonts w:eastAsia="Calibri"/>
          <w:iCs/>
          <w:szCs w:val="24"/>
          <w:lang w:eastAsia="en-GB"/>
        </w:rPr>
        <w:t xml:space="preserve"> commercial panel to two other in-house gene panels.</w:t>
      </w:r>
    </w:p>
    <w:p w14:paraId="28EF9599" w14:textId="5F213179" w:rsidR="006B0FEE" w:rsidRDefault="006B0FEE" w:rsidP="007C2DC0">
      <w:pPr>
        <w:spacing w:before="240"/>
        <w:rPr>
          <w:rFonts w:eastAsia="Calibri"/>
          <w:iCs/>
          <w:szCs w:val="24"/>
          <w:lang w:eastAsia="en-GB"/>
        </w:rPr>
      </w:pPr>
      <w:r w:rsidRPr="006B0FEE">
        <w:rPr>
          <w:rFonts w:eastAsia="Calibri"/>
          <w:iCs/>
          <w:szCs w:val="24"/>
          <w:lang w:eastAsia="en-GB"/>
        </w:rPr>
        <w:t xml:space="preserve">The Commentary noted that the analytical performance of these tests was also not evaluated in samples from patients with </w:t>
      </w:r>
      <w:proofErr w:type="spellStart"/>
      <w:r w:rsidRPr="006B0FEE">
        <w:rPr>
          <w:rFonts w:eastAsia="Calibri"/>
          <w:iCs/>
          <w:szCs w:val="24"/>
          <w:lang w:eastAsia="en-GB"/>
        </w:rPr>
        <w:t>mCRPC</w:t>
      </w:r>
      <w:proofErr w:type="spellEnd"/>
      <w:r w:rsidRPr="006B0FEE">
        <w:rPr>
          <w:rFonts w:eastAsia="Calibri"/>
          <w:iCs/>
          <w:szCs w:val="24"/>
          <w:lang w:eastAsia="en-GB"/>
        </w:rPr>
        <w:t>. Comparison of NGS-based methods in the target tissue is important, as manufacturers use different DNA extraction and library preparation methods, which may lead to variations in quality and quantity of DNA extracted</w:t>
      </w:r>
      <w:r w:rsidRPr="006B0FEE">
        <w:rPr>
          <w:rFonts w:eastAsia="Calibri" w:cs="Arial"/>
          <w:iCs/>
          <w:szCs w:val="22"/>
          <w:vertAlign w:val="superscript"/>
          <w:lang w:eastAsia="en-US"/>
        </w:rPr>
        <w:footnoteReference w:id="13"/>
      </w:r>
      <w:r w:rsidRPr="006B0FEE">
        <w:rPr>
          <w:rFonts w:eastAsia="Calibri"/>
          <w:iCs/>
          <w:szCs w:val="24"/>
          <w:lang w:eastAsia="en-GB"/>
        </w:rPr>
        <w:t>.</w:t>
      </w:r>
    </w:p>
    <w:p w14:paraId="0A4AEA39" w14:textId="149B3859" w:rsidR="006B0FEE" w:rsidRPr="006B0FEE" w:rsidRDefault="006B0FEE" w:rsidP="006B0FEE">
      <w:pPr>
        <w:rPr>
          <w:rFonts w:eastAsia="Calibri"/>
          <w:iCs/>
          <w:szCs w:val="24"/>
          <w:lang w:eastAsia="en-GB"/>
        </w:rPr>
      </w:pPr>
      <w:r w:rsidRPr="006B0FEE">
        <w:rPr>
          <w:rFonts w:eastAsia="Calibri"/>
          <w:iCs/>
          <w:szCs w:val="24"/>
          <w:lang w:eastAsia="en-GB"/>
        </w:rPr>
        <w:lastRenderedPageBreak/>
        <w:t>In summary, the Commentary highlighted that the submission:</w:t>
      </w:r>
    </w:p>
    <w:p w14:paraId="770845CD" w14:textId="658E7980" w:rsidR="006B0FEE" w:rsidRPr="006B0FEE" w:rsidRDefault="006B0FEE" w:rsidP="006B0FEE">
      <w:pPr>
        <w:numPr>
          <w:ilvl w:val="0"/>
          <w:numId w:val="32"/>
        </w:numPr>
        <w:spacing w:before="120" w:after="120"/>
        <w:contextualSpacing/>
        <w:jc w:val="both"/>
        <w:rPr>
          <w:rFonts w:eastAsia="Calibri"/>
          <w:iCs/>
          <w:szCs w:val="24"/>
          <w:lang w:eastAsia="en-GB"/>
        </w:rPr>
      </w:pPr>
      <w:r w:rsidRPr="006B0FEE">
        <w:rPr>
          <w:rFonts w:eastAsia="Calibri"/>
          <w:iCs/>
          <w:szCs w:val="24"/>
          <w:lang w:eastAsia="en-GB"/>
        </w:rPr>
        <w:t xml:space="preserve">did not provide sufficient information on the proposed tests’ sensitivity and specificity to detect </w:t>
      </w:r>
      <w:r w:rsidRPr="006B0FEE">
        <w:rPr>
          <w:rFonts w:eastAsia="Calibri"/>
          <w:i/>
          <w:iCs/>
          <w:szCs w:val="24"/>
          <w:lang w:eastAsia="en-GB"/>
        </w:rPr>
        <w:t xml:space="preserve">BRCA1/2 </w:t>
      </w:r>
      <w:r w:rsidR="00E370C0">
        <w:rPr>
          <w:rFonts w:eastAsia="Calibri"/>
          <w:iCs/>
          <w:szCs w:val="24"/>
          <w:lang w:eastAsia="en-GB"/>
        </w:rPr>
        <w:t>pathogenic gene</w:t>
      </w:r>
      <w:r w:rsidR="00E370C0" w:rsidRPr="006B0FEE">
        <w:rPr>
          <w:rFonts w:eastAsia="Calibri"/>
          <w:iCs/>
          <w:szCs w:val="24"/>
          <w:lang w:eastAsia="en-GB"/>
        </w:rPr>
        <w:t xml:space="preserve"> </w:t>
      </w:r>
      <w:r w:rsidRPr="006B0FEE">
        <w:rPr>
          <w:rFonts w:eastAsia="Calibri"/>
          <w:iCs/>
          <w:szCs w:val="24"/>
          <w:lang w:eastAsia="en-GB"/>
        </w:rPr>
        <w:t xml:space="preserve">variants in </w:t>
      </w:r>
      <w:proofErr w:type="spellStart"/>
      <w:r w:rsidRPr="006B0FEE">
        <w:rPr>
          <w:rFonts w:eastAsia="Calibri"/>
          <w:iCs/>
          <w:szCs w:val="24"/>
          <w:lang w:eastAsia="en-GB"/>
        </w:rPr>
        <w:t>mCRPC</w:t>
      </w:r>
      <w:proofErr w:type="spellEnd"/>
      <w:r w:rsidRPr="006B0FEE">
        <w:rPr>
          <w:rFonts w:eastAsia="Calibri"/>
          <w:iCs/>
          <w:szCs w:val="24"/>
          <w:lang w:eastAsia="en-GB"/>
        </w:rPr>
        <w:t xml:space="preserve"> tissue samples</w:t>
      </w:r>
    </w:p>
    <w:p w14:paraId="136AB30D" w14:textId="77777777" w:rsidR="006B0FEE" w:rsidRPr="006B0FEE" w:rsidRDefault="006B0FEE" w:rsidP="006B0FEE">
      <w:pPr>
        <w:numPr>
          <w:ilvl w:val="0"/>
          <w:numId w:val="32"/>
        </w:numPr>
        <w:spacing w:before="120" w:after="120"/>
        <w:contextualSpacing/>
        <w:jc w:val="both"/>
        <w:rPr>
          <w:rFonts w:eastAsia="Calibri"/>
          <w:iCs/>
          <w:szCs w:val="24"/>
          <w:lang w:eastAsia="en-GB"/>
        </w:rPr>
      </w:pPr>
      <w:r w:rsidRPr="006B0FEE">
        <w:rPr>
          <w:rFonts w:eastAsia="Calibri"/>
          <w:iCs/>
          <w:szCs w:val="24"/>
          <w:lang w:eastAsia="en-GB"/>
        </w:rPr>
        <w:t>did not discuss the place of germline testing in the proposed algorithm, or cascade testing for family members</w:t>
      </w:r>
    </w:p>
    <w:p w14:paraId="7F63AAA6" w14:textId="77777777" w:rsidR="006B0FEE" w:rsidRPr="006B0FEE" w:rsidRDefault="006B0FEE" w:rsidP="006B0FEE">
      <w:pPr>
        <w:numPr>
          <w:ilvl w:val="0"/>
          <w:numId w:val="32"/>
        </w:numPr>
        <w:spacing w:before="120" w:after="120"/>
        <w:contextualSpacing/>
        <w:jc w:val="both"/>
        <w:rPr>
          <w:rFonts w:eastAsia="Calibri"/>
          <w:iCs/>
          <w:szCs w:val="24"/>
          <w:lang w:eastAsia="en-GB"/>
        </w:rPr>
      </w:pPr>
      <w:r w:rsidRPr="006B0FEE">
        <w:rPr>
          <w:rFonts w:eastAsia="Calibri"/>
          <w:iCs/>
          <w:szCs w:val="24"/>
          <w:lang w:eastAsia="en-GB"/>
        </w:rPr>
        <w:t>did not discuss the need for additional biopsies or retesting of tumour tissue, even though results presented in F1CDx FDA label suggested lower DNA extraction pass rate and higher test failure rate for prostate compared to other tissues.</w:t>
      </w:r>
    </w:p>
    <w:p w14:paraId="2D969399" w14:textId="77777777" w:rsidR="006B0FEE" w:rsidRPr="006B0FEE" w:rsidRDefault="006B0FEE" w:rsidP="007C2DC0">
      <w:pPr>
        <w:keepNext/>
        <w:keepLines/>
        <w:numPr>
          <w:ilvl w:val="6"/>
          <w:numId w:val="31"/>
        </w:numPr>
        <w:spacing w:before="240" w:after="120"/>
        <w:jc w:val="both"/>
        <w:outlineLvl w:val="1"/>
        <w:rPr>
          <w:rFonts w:eastAsia="SimSun"/>
          <w:i/>
          <w:snapToGrid w:val="0"/>
          <w:szCs w:val="28"/>
          <w:lang w:eastAsia="en-GB"/>
        </w:rPr>
      </w:pPr>
      <w:r w:rsidRPr="006B0FEE">
        <w:rPr>
          <w:rFonts w:eastAsia="SimSun"/>
          <w:i/>
          <w:snapToGrid w:val="0"/>
          <w:szCs w:val="28"/>
          <w:lang w:eastAsia="en-GB"/>
        </w:rPr>
        <w:t>Prevalence</w:t>
      </w:r>
    </w:p>
    <w:p w14:paraId="04A920A3" w14:textId="00738AA2" w:rsidR="006B0FEE" w:rsidRPr="006B0FEE" w:rsidRDefault="006B0FEE" w:rsidP="006B0FEE">
      <w:pPr>
        <w:rPr>
          <w:rFonts w:eastAsia="Calibri" w:cs="Arial"/>
          <w:szCs w:val="22"/>
          <w:lang w:eastAsia="en-US"/>
        </w:rPr>
      </w:pPr>
      <w:r w:rsidRPr="006B0FEE">
        <w:rPr>
          <w:rFonts w:eastAsia="Calibri" w:cs="Arial"/>
          <w:szCs w:val="22"/>
          <w:lang w:eastAsia="en-US"/>
        </w:rPr>
        <w:t xml:space="preserve">The submission did not present any direct evidence on </w:t>
      </w:r>
      <w:r w:rsidRPr="006B0FEE">
        <w:t>the</w:t>
      </w:r>
      <w:r w:rsidRPr="006B0FEE">
        <w:rPr>
          <w:rFonts w:eastAsia="Calibri" w:cs="Arial"/>
          <w:szCs w:val="22"/>
          <w:lang w:eastAsia="en-US"/>
        </w:rPr>
        <w:t xml:space="preserve"> prevalence of </w:t>
      </w:r>
      <w:r w:rsidRPr="006B0FEE">
        <w:rPr>
          <w:rFonts w:eastAsia="Calibri" w:cs="Arial"/>
          <w:i/>
          <w:szCs w:val="22"/>
          <w:lang w:eastAsia="en-US"/>
        </w:rPr>
        <w:t>BRCA1/2</w:t>
      </w:r>
      <w:r w:rsidRPr="006B0FEE">
        <w:rPr>
          <w:rFonts w:eastAsia="Calibri" w:cs="Arial"/>
          <w:szCs w:val="22"/>
          <w:lang w:eastAsia="en-US"/>
        </w:rPr>
        <w:t xml:space="preserve"> pathogenic</w:t>
      </w:r>
      <w:r w:rsidR="00E370C0" w:rsidRPr="00E370C0">
        <w:rPr>
          <w:rFonts w:eastAsia="Calibri" w:cs="Arial"/>
          <w:iCs/>
          <w:szCs w:val="22"/>
          <w:lang w:eastAsia="en-US"/>
        </w:rPr>
        <w:t xml:space="preserve"> </w:t>
      </w:r>
      <w:r w:rsidR="00E370C0">
        <w:rPr>
          <w:rFonts w:eastAsia="Calibri" w:cs="Arial"/>
          <w:iCs/>
          <w:szCs w:val="22"/>
          <w:lang w:eastAsia="en-US"/>
        </w:rPr>
        <w:t>gene</w:t>
      </w:r>
      <w:r w:rsidRPr="006B0FEE">
        <w:rPr>
          <w:rFonts w:eastAsia="Calibri" w:cs="Arial"/>
          <w:szCs w:val="22"/>
          <w:lang w:eastAsia="en-US"/>
        </w:rPr>
        <w:t xml:space="preserve"> variant in Australians with prostate cancer.</w:t>
      </w:r>
    </w:p>
    <w:p w14:paraId="61E79FC9" w14:textId="52DA8A2D" w:rsidR="006B0FEE" w:rsidRPr="006B0FEE" w:rsidRDefault="006B0FEE" w:rsidP="007C2DC0">
      <w:pPr>
        <w:spacing w:before="240"/>
        <w:rPr>
          <w:rFonts w:eastAsia="Calibri" w:cs="Arial"/>
          <w:szCs w:val="22"/>
          <w:lang w:eastAsia="en-US"/>
        </w:rPr>
      </w:pPr>
      <w:r w:rsidRPr="006B0FEE">
        <w:rPr>
          <w:rFonts w:eastAsia="Calibri" w:cs="Arial"/>
          <w:iCs/>
          <w:szCs w:val="22"/>
          <w:lang w:eastAsia="en-US"/>
        </w:rPr>
        <w:t xml:space="preserve">The submission presented two tables with estimates of </w:t>
      </w:r>
      <w:r w:rsidRPr="006B0FEE">
        <w:rPr>
          <w:rFonts w:eastAsia="Calibri" w:cs="Arial"/>
          <w:i/>
          <w:iCs/>
          <w:szCs w:val="22"/>
          <w:lang w:eastAsia="en-US"/>
        </w:rPr>
        <w:t>BRCA1/2</w:t>
      </w:r>
      <w:r w:rsidRPr="006B0FEE">
        <w:rPr>
          <w:rFonts w:eastAsia="Calibri" w:cs="Arial"/>
          <w:iCs/>
          <w:szCs w:val="22"/>
          <w:lang w:eastAsia="en-US"/>
        </w:rPr>
        <w:t xml:space="preserve">m prevalence from several studies. These studies however were not formally assessed nor described. From these, while the </w:t>
      </w:r>
      <w:r w:rsidRPr="006B0FEE">
        <w:t>submission</w:t>
      </w:r>
      <w:r w:rsidRPr="006B0FEE">
        <w:rPr>
          <w:rFonts w:eastAsia="Calibri" w:cs="Arial"/>
          <w:iCs/>
          <w:szCs w:val="22"/>
          <w:lang w:eastAsia="en-US"/>
        </w:rPr>
        <w:t xml:space="preserve"> estimated weighted average prevalence values for </w:t>
      </w:r>
      <w:r w:rsidRPr="006B0FEE">
        <w:rPr>
          <w:rFonts w:eastAsia="Calibri" w:cs="Arial"/>
          <w:i/>
          <w:iCs/>
          <w:szCs w:val="22"/>
          <w:lang w:eastAsia="en-US"/>
        </w:rPr>
        <w:t>BRCA1/2</w:t>
      </w:r>
      <w:r w:rsidRPr="006B0FEE">
        <w:rPr>
          <w:rFonts w:eastAsia="Calibri" w:cs="Arial"/>
          <w:iCs/>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6B0FEE">
        <w:rPr>
          <w:rFonts w:eastAsia="Calibri" w:cs="Arial"/>
          <w:iCs/>
          <w:szCs w:val="22"/>
          <w:lang w:eastAsia="en-US"/>
        </w:rPr>
        <w:t xml:space="preserve">variants of 5.4% and 12%, these values are not used in the modelled economic evaluation, which used a prevalence of </w:t>
      </w:r>
      <w:r w:rsidRPr="006B0FEE">
        <w:rPr>
          <w:rFonts w:eastAsia="Calibri" w:cs="Arial"/>
          <w:szCs w:val="22"/>
          <w:lang w:eastAsia="en-US"/>
        </w:rPr>
        <w:t xml:space="preserve">9.7% derived from </w:t>
      </w:r>
      <w:proofErr w:type="spellStart"/>
      <w:r w:rsidRPr="006B0FEE">
        <w:rPr>
          <w:rFonts w:eastAsia="Calibri" w:cs="Arial"/>
          <w:szCs w:val="22"/>
          <w:lang w:eastAsia="en-US"/>
        </w:rPr>
        <w:t>PROfound</w:t>
      </w:r>
      <w:proofErr w:type="spellEnd"/>
      <w:r w:rsidRPr="006B0FEE">
        <w:rPr>
          <w:rFonts w:eastAsia="Calibri" w:cs="Arial"/>
          <w:szCs w:val="22"/>
          <w:lang w:eastAsia="en-US"/>
        </w:rPr>
        <w:t xml:space="preserve"> in </w:t>
      </w:r>
      <w:proofErr w:type="spellStart"/>
      <w:r w:rsidRPr="006B0FEE">
        <w:rPr>
          <w:rFonts w:eastAsia="Calibri" w:cs="Arial"/>
          <w:szCs w:val="22"/>
          <w:lang w:eastAsia="en-US"/>
        </w:rPr>
        <w:t>mCRPC</w:t>
      </w:r>
      <w:proofErr w:type="spellEnd"/>
      <w:r w:rsidRPr="006B0FEE">
        <w:rPr>
          <w:rFonts w:eastAsia="Calibri" w:cs="Arial"/>
          <w:szCs w:val="22"/>
          <w:lang w:eastAsia="en-US"/>
        </w:rPr>
        <w:t xml:space="preserve"> patients.</w:t>
      </w:r>
    </w:p>
    <w:p w14:paraId="0DE9DE67" w14:textId="77777777" w:rsidR="006B0FEE" w:rsidRPr="006B0FEE" w:rsidRDefault="006B0FEE" w:rsidP="007C2DC0">
      <w:pPr>
        <w:keepNext/>
        <w:keepLines/>
        <w:numPr>
          <w:ilvl w:val="6"/>
          <w:numId w:val="31"/>
        </w:numPr>
        <w:spacing w:before="240" w:after="120"/>
        <w:jc w:val="both"/>
        <w:outlineLvl w:val="1"/>
        <w:rPr>
          <w:rFonts w:eastAsia="SimSun"/>
          <w:i/>
          <w:snapToGrid w:val="0"/>
          <w:szCs w:val="28"/>
          <w:lang w:eastAsia="en-GB"/>
        </w:rPr>
      </w:pPr>
      <w:r w:rsidRPr="006B0FEE">
        <w:rPr>
          <w:rFonts w:eastAsia="SimSun"/>
          <w:i/>
          <w:snapToGrid w:val="0"/>
          <w:szCs w:val="28"/>
          <w:lang w:eastAsia="en-GB"/>
        </w:rPr>
        <w:t>Change in management in practice</w:t>
      </w:r>
    </w:p>
    <w:p w14:paraId="6005DCF9" w14:textId="7BB4A5D2" w:rsidR="006B0FEE" w:rsidRPr="006B0FEE" w:rsidRDefault="006B0FEE" w:rsidP="006B0FEE">
      <w:pPr>
        <w:rPr>
          <w:rFonts w:eastAsia="Calibri" w:cs="Arial"/>
          <w:szCs w:val="22"/>
          <w:lang w:eastAsia="en-US"/>
        </w:rPr>
      </w:pPr>
      <w:r w:rsidRPr="006B0FEE">
        <w:rPr>
          <w:rFonts w:eastAsia="Calibri" w:cs="Arial"/>
          <w:szCs w:val="22"/>
          <w:lang w:eastAsia="en-US"/>
        </w:rPr>
        <w:t xml:space="preserve">The submission did not provide any evidence regarding </w:t>
      </w:r>
      <w:r w:rsidRPr="006B0FEE">
        <w:t>other</w:t>
      </w:r>
      <w:r w:rsidRPr="006B0FEE">
        <w:rPr>
          <w:rFonts w:eastAsia="Calibri" w:cs="Arial"/>
          <w:szCs w:val="22"/>
          <w:lang w:eastAsia="en-US"/>
        </w:rPr>
        <w:t xml:space="preserve"> changes in clinical management associated with </w:t>
      </w:r>
      <w:r w:rsidRPr="006B0FEE">
        <w:rPr>
          <w:rFonts w:eastAsia="Calibri" w:cs="Arial"/>
          <w:i/>
          <w:szCs w:val="22"/>
          <w:lang w:eastAsia="en-US"/>
        </w:rPr>
        <w:t>BRCA1/2</w:t>
      </w:r>
      <w:r w:rsidRPr="006B0FEE">
        <w:rPr>
          <w:rFonts w:eastAsia="Calibri" w:cs="Arial"/>
          <w:szCs w:val="22"/>
          <w:lang w:eastAsia="en-US"/>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6B0FEE">
        <w:rPr>
          <w:rFonts w:eastAsia="Calibri" w:cs="Arial"/>
          <w:szCs w:val="22"/>
          <w:lang w:eastAsia="en-US"/>
        </w:rPr>
        <w:t>variant testing.</w:t>
      </w:r>
    </w:p>
    <w:p w14:paraId="4D42345F" w14:textId="00D1EC9C" w:rsidR="006B0FEE" w:rsidRPr="006B0FEE" w:rsidRDefault="006B0FEE" w:rsidP="007C2DC0">
      <w:pPr>
        <w:spacing w:before="240"/>
        <w:rPr>
          <w:rFonts w:eastAsia="Calibri" w:cs="Arial"/>
          <w:iCs/>
          <w:szCs w:val="22"/>
          <w:lang w:eastAsia="en-US"/>
        </w:rPr>
      </w:pPr>
      <w:r w:rsidRPr="006B0FEE">
        <w:rPr>
          <w:rFonts w:eastAsia="Calibri"/>
          <w:szCs w:val="24"/>
          <w:lang w:eastAsia="en-GB"/>
        </w:rPr>
        <w:t>Given that around 50% of HRR gene variants detectable in tumour tissues constitute germline variants, the Commentary considered any increase in somatic testing of prostate tumour tissue w</w:t>
      </w:r>
      <w:r w:rsidR="00795212">
        <w:rPr>
          <w:rFonts w:eastAsia="Calibri"/>
          <w:szCs w:val="24"/>
          <w:lang w:eastAsia="en-GB"/>
        </w:rPr>
        <w:t>ould</w:t>
      </w:r>
      <w:r w:rsidRPr="006B0FEE">
        <w:rPr>
          <w:rFonts w:eastAsia="Calibri"/>
          <w:szCs w:val="24"/>
          <w:lang w:eastAsia="en-GB"/>
        </w:rPr>
        <w:t xml:space="preserve"> also increase: </w:t>
      </w:r>
      <w:proofErr w:type="spellStart"/>
      <w:r w:rsidRPr="006B0FEE">
        <w:rPr>
          <w:rFonts w:eastAsia="Calibri"/>
          <w:szCs w:val="24"/>
          <w:lang w:eastAsia="en-GB"/>
        </w:rPr>
        <w:t>i</w:t>
      </w:r>
      <w:proofErr w:type="spellEnd"/>
      <w:r w:rsidRPr="006B0FEE">
        <w:rPr>
          <w:rFonts w:eastAsia="Calibri"/>
          <w:szCs w:val="24"/>
          <w:lang w:eastAsia="en-GB"/>
        </w:rPr>
        <w:t>) genetic counselling and germline testing in a patient with a positive tumour test (existing MBS item: 73302)</w:t>
      </w:r>
      <w:r w:rsidR="00795212">
        <w:rPr>
          <w:rFonts w:eastAsia="Calibri"/>
          <w:szCs w:val="24"/>
          <w:lang w:eastAsia="en-GB"/>
        </w:rPr>
        <w:t>,</w:t>
      </w:r>
      <w:r w:rsidRPr="006B0FEE">
        <w:rPr>
          <w:rFonts w:eastAsia="Calibri"/>
          <w:szCs w:val="24"/>
          <w:lang w:eastAsia="en-GB"/>
        </w:rPr>
        <w:t xml:space="preserve"> and ii) </w:t>
      </w:r>
      <w:r w:rsidRPr="006B0FEE">
        <w:t>cascade</w:t>
      </w:r>
      <w:r w:rsidRPr="006B0FEE">
        <w:rPr>
          <w:rFonts w:eastAsia="Calibri"/>
          <w:szCs w:val="24"/>
          <w:lang w:eastAsia="en-GB"/>
        </w:rPr>
        <w:t xml:space="preserve"> testing of family members of those shown to have a germline variant (existing MBS item: 73297). While these flow on consequences of somatic testing for </w:t>
      </w:r>
      <w:r w:rsidRPr="006B0FEE">
        <w:rPr>
          <w:rFonts w:eastAsia="Calibri"/>
          <w:i/>
          <w:szCs w:val="24"/>
          <w:lang w:eastAsia="en-GB"/>
        </w:rPr>
        <w:t>BRCA 1/2</w:t>
      </w:r>
      <w:r w:rsidRPr="006B0FEE">
        <w:rPr>
          <w:rFonts w:eastAsia="Calibri"/>
          <w:szCs w:val="24"/>
          <w:lang w:eastAsia="en-GB"/>
        </w:rPr>
        <w:t xml:space="preserve"> pathogenic </w:t>
      </w:r>
      <w:r w:rsidR="00E370C0">
        <w:rPr>
          <w:rFonts w:eastAsia="Calibri" w:cs="Arial"/>
          <w:iCs/>
          <w:szCs w:val="22"/>
          <w:lang w:eastAsia="en-US"/>
        </w:rPr>
        <w:t>gene</w:t>
      </w:r>
      <w:r w:rsidR="00E370C0" w:rsidRPr="00DD13A3">
        <w:rPr>
          <w:rFonts w:eastAsia="Calibri" w:cs="Arial"/>
          <w:iCs/>
          <w:szCs w:val="22"/>
          <w:lang w:eastAsia="en-US"/>
        </w:rPr>
        <w:t xml:space="preserve"> </w:t>
      </w:r>
      <w:r w:rsidRPr="006B0FEE">
        <w:rPr>
          <w:rFonts w:eastAsia="Calibri"/>
          <w:szCs w:val="24"/>
          <w:lang w:eastAsia="en-GB"/>
        </w:rPr>
        <w:t>variants were noted in the submission and in the Ratified PICO 1618, the submission did not present an assessment of either the clinical utility or the cost-effectiveness of these flow-on effects.</w:t>
      </w:r>
    </w:p>
    <w:p w14:paraId="7FE00669" w14:textId="77777777" w:rsidR="006B0FEE" w:rsidRPr="006B0FEE" w:rsidRDefault="006B0FEE" w:rsidP="007C2DC0">
      <w:pPr>
        <w:keepNext/>
        <w:keepLines/>
        <w:numPr>
          <w:ilvl w:val="6"/>
          <w:numId w:val="31"/>
        </w:numPr>
        <w:spacing w:before="240" w:after="120"/>
        <w:jc w:val="both"/>
        <w:outlineLvl w:val="1"/>
        <w:rPr>
          <w:rFonts w:eastAsia="SimSun"/>
          <w:i/>
          <w:snapToGrid w:val="0"/>
          <w:szCs w:val="28"/>
          <w:lang w:eastAsia="en-GB"/>
        </w:rPr>
      </w:pPr>
      <w:r w:rsidRPr="006B0FEE">
        <w:rPr>
          <w:rFonts w:eastAsia="SimSun"/>
          <w:i/>
          <w:snapToGrid w:val="0"/>
          <w:szCs w:val="28"/>
          <w:lang w:eastAsia="en-GB"/>
        </w:rPr>
        <w:t xml:space="preserve">Claim of </w:t>
      </w:r>
      <w:proofErr w:type="spellStart"/>
      <w:r w:rsidRPr="006B0FEE">
        <w:rPr>
          <w:rFonts w:eastAsia="SimSun"/>
          <w:i/>
          <w:snapToGrid w:val="0"/>
          <w:szCs w:val="28"/>
          <w:lang w:eastAsia="en-GB"/>
        </w:rPr>
        <w:t>codependence</w:t>
      </w:r>
      <w:proofErr w:type="spellEnd"/>
    </w:p>
    <w:p w14:paraId="5062EB8C" w14:textId="445A3E6F" w:rsidR="006B0FEE" w:rsidRPr="006B0FEE" w:rsidRDefault="006B0FEE" w:rsidP="006B0FEE">
      <w:pPr>
        <w:rPr>
          <w:i/>
          <w:iCs/>
        </w:rPr>
      </w:pPr>
      <w:r w:rsidRPr="006B0FEE">
        <w:t xml:space="preserve">The submission claimed that identification of </w:t>
      </w:r>
      <w:r w:rsidRPr="006B0FEE">
        <w:rPr>
          <w:i/>
        </w:rPr>
        <w:t>BRCA</w:t>
      </w:r>
      <w:r w:rsidRPr="006B0FEE">
        <w:t xml:space="preserve"> gene variants in patients with </w:t>
      </w:r>
      <w:proofErr w:type="spellStart"/>
      <w:r w:rsidRPr="006B0FEE">
        <w:t>mCRPC</w:t>
      </w:r>
      <w:proofErr w:type="spellEnd"/>
      <w:r w:rsidRPr="006B0FEE">
        <w:t xml:space="preserve"> could optimise treatment in these patients, through access to a targeted therapy and by prolonging survival in this population. </w:t>
      </w:r>
      <w:r w:rsidRPr="006B0FEE">
        <w:rPr>
          <w:iCs/>
        </w:rPr>
        <w:t xml:space="preserve">The Commentary </w:t>
      </w:r>
      <w:r w:rsidRPr="006B0FEE">
        <w:t>considered</w:t>
      </w:r>
      <w:r w:rsidRPr="006B0FEE">
        <w:rPr>
          <w:iCs/>
        </w:rPr>
        <w:t xml:space="preserve"> that the submission</w:t>
      </w:r>
      <w:r w:rsidR="00795212">
        <w:rPr>
          <w:iCs/>
        </w:rPr>
        <w:t xml:space="preserve"> did </w:t>
      </w:r>
      <w:r w:rsidRPr="006B0FEE">
        <w:rPr>
          <w:iCs/>
        </w:rPr>
        <w:t xml:space="preserve">not provide adequate evidence to support this claim, as all patients in </w:t>
      </w:r>
      <w:proofErr w:type="spellStart"/>
      <w:r w:rsidRPr="006B0FEE">
        <w:rPr>
          <w:iCs/>
        </w:rPr>
        <w:t>PROfound</w:t>
      </w:r>
      <w:proofErr w:type="spellEnd"/>
      <w:r w:rsidRPr="006B0FEE">
        <w:rPr>
          <w:iCs/>
        </w:rPr>
        <w:t xml:space="preserve"> (the main trial supporting the submission) had pathogenic gene variants, and no comparisons were provided against patients without the biomarker.</w:t>
      </w:r>
    </w:p>
    <w:p w14:paraId="4A5EF648" w14:textId="1AF63BA6" w:rsidR="006B0FEE" w:rsidRPr="006B0FEE" w:rsidRDefault="006B0FEE" w:rsidP="007C2DC0">
      <w:pPr>
        <w:spacing w:before="240"/>
        <w:rPr>
          <w:iCs/>
        </w:rPr>
      </w:pPr>
      <w:r w:rsidRPr="006B0FEE">
        <w:rPr>
          <w:iCs/>
        </w:rPr>
        <w:t xml:space="preserve">The Commentary noted </w:t>
      </w:r>
      <w:r w:rsidR="00795212">
        <w:rPr>
          <w:iCs/>
        </w:rPr>
        <w:t xml:space="preserve">the </w:t>
      </w:r>
      <w:r w:rsidRPr="006B0FEE">
        <w:rPr>
          <w:iCs/>
        </w:rPr>
        <w:t xml:space="preserve">economic model also did not include a test and treatment structure, and costs and outcomes associated with testing were not properly incorporated into the model. Therefore, the cost-effectiveness of </w:t>
      </w:r>
      <w:r w:rsidRPr="006B0FEE">
        <w:rPr>
          <w:i/>
          <w:iCs/>
        </w:rPr>
        <w:t>BRCA1/2</w:t>
      </w:r>
      <w:r w:rsidRPr="006B0FEE">
        <w:rPr>
          <w:iCs/>
        </w:rPr>
        <w:t xml:space="preserve"> testing and olaparib as codependent technologies could not be </w:t>
      </w:r>
      <w:r w:rsidR="00795212">
        <w:rPr>
          <w:iCs/>
        </w:rPr>
        <w:t xml:space="preserve">fully </w:t>
      </w:r>
      <w:r w:rsidRPr="006B0FEE">
        <w:rPr>
          <w:iCs/>
        </w:rPr>
        <w:t>established.</w:t>
      </w:r>
    </w:p>
    <w:p w14:paraId="1F3DA3D1" w14:textId="77777777" w:rsidR="00BC1364" w:rsidRPr="00F715D1" w:rsidRDefault="00BC1364" w:rsidP="00F715D1">
      <w:pPr>
        <w:pStyle w:val="Heading1"/>
      </w:pPr>
      <w:r w:rsidRPr="00F715D1">
        <w:t>Economic evaluation</w:t>
      </w:r>
    </w:p>
    <w:p w14:paraId="1AC2567B" w14:textId="25D80B6D" w:rsidR="006B0FEE" w:rsidRPr="00D3430D" w:rsidRDefault="006B0FEE" w:rsidP="006B0FEE">
      <w:pPr>
        <w:rPr>
          <w:rFonts w:eastAsia="Calibri"/>
          <w:szCs w:val="22"/>
          <w:lang w:eastAsia="en-US"/>
        </w:rPr>
      </w:pPr>
      <w:r w:rsidRPr="00D3430D">
        <w:rPr>
          <w:rFonts w:eastAsia="Calibri"/>
          <w:szCs w:val="22"/>
          <w:lang w:eastAsia="en-US"/>
        </w:rPr>
        <w:t xml:space="preserve">The submission presented a stepped economic evaluation, based on the </w:t>
      </w:r>
      <w:proofErr w:type="spellStart"/>
      <w:r w:rsidRPr="00D3430D">
        <w:rPr>
          <w:rFonts w:eastAsia="Calibri"/>
          <w:szCs w:val="22"/>
          <w:lang w:eastAsia="en-US"/>
        </w:rPr>
        <w:t>PROfound</w:t>
      </w:r>
      <w:proofErr w:type="spellEnd"/>
      <w:r w:rsidRPr="00D3430D">
        <w:rPr>
          <w:rFonts w:eastAsia="Calibri"/>
          <w:szCs w:val="22"/>
          <w:lang w:eastAsia="en-US"/>
        </w:rPr>
        <w:t xml:space="preserve"> trial, comparing olaparib and NHA (abiraterone/enzalutamide), in a population of </w:t>
      </w:r>
      <w:proofErr w:type="spellStart"/>
      <w:r w:rsidR="00E370C0" w:rsidRPr="00D3430D">
        <w:rPr>
          <w:rFonts w:eastAsia="Calibri"/>
          <w:szCs w:val="22"/>
          <w:lang w:eastAsia="en-US"/>
        </w:rPr>
        <w:t>mCRPC</w:t>
      </w:r>
      <w:proofErr w:type="spellEnd"/>
      <w:r w:rsidR="00E370C0" w:rsidRPr="00D3430D">
        <w:rPr>
          <w:rFonts w:eastAsia="Calibri"/>
          <w:szCs w:val="22"/>
          <w:lang w:eastAsia="en-US"/>
        </w:rPr>
        <w:t xml:space="preserve"> </w:t>
      </w:r>
      <w:r w:rsidRPr="00D3430D">
        <w:rPr>
          <w:rFonts w:eastAsia="Calibri"/>
          <w:szCs w:val="22"/>
          <w:lang w:eastAsia="en-US"/>
        </w:rPr>
        <w:t xml:space="preserve">patients with </w:t>
      </w:r>
      <w:r w:rsidRPr="00D3430D">
        <w:rPr>
          <w:rFonts w:eastAsia="Calibri"/>
          <w:i/>
          <w:iCs/>
          <w:szCs w:val="22"/>
          <w:lang w:eastAsia="en-US"/>
        </w:rPr>
        <w:t>BRCA1/2</w:t>
      </w:r>
      <w:r w:rsidRPr="00D3430D">
        <w:rPr>
          <w:rFonts w:eastAsia="Calibri"/>
          <w:szCs w:val="22"/>
          <w:lang w:eastAsia="en-US"/>
        </w:rPr>
        <w:t xml:space="preserve"> pathogenic gene variant</w:t>
      </w:r>
      <w:r w:rsidR="00E370C0">
        <w:rPr>
          <w:rFonts w:eastAsia="Calibri"/>
          <w:szCs w:val="22"/>
          <w:lang w:eastAsia="en-US"/>
        </w:rPr>
        <w:t>s</w:t>
      </w:r>
      <w:r w:rsidRPr="00D3430D">
        <w:rPr>
          <w:rFonts w:eastAsia="Calibri"/>
          <w:szCs w:val="22"/>
          <w:lang w:eastAsia="en-US"/>
        </w:rPr>
        <w:t xml:space="preserve"> who have failed previous treatment with NHA. The modelled economic evaluation was a cost-utility analysis using a partitioned survival model with three health states: progression free survival (PFS), progressed disease (PD), and death.</w:t>
      </w:r>
    </w:p>
    <w:p w14:paraId="3A7EF6B2" w14:textId="3EFEABF9" w:rsidR="006B0FEE" w:rsidRPr="00D3430D" w:rsidRDefault="006B0FEE" w:rsidP="007C2DC0">
      <w:pPr>
        <w:spacing w:before="240"/>
        <w:rPr>
          <w:rFonts w:eastAsia="Calibri"/>
          <w:i/>
          <w:szCs w:val="22"/>
          <w:lang w:eastAsia="en-US"/>
        </w:rPr>
      </w:pPr>
      <w:r w:rsidRPr="00D3430D">
        <w:lastRenderedPageBreak/>
        <w:t xml:space="preserve">The modelled economic evaluation over a period of 10 years estimated an incremental cost/QALY of </w:t>
      </w:r>
      <w:r w:rsidRPr="000D17E8">
        <w:t>$</w:t>
      </w:r>
      <w:r w:rsidR="006B6B9E" w:rsidRPr="000D17E8">
        <w:rPr>
          <w:b/>
          <w:bCs/>
        </w:rPr>
        <w:t>redacted</w:t>
      </w:r>
      <w:r w:rsidRPr="007D64BB">
        <w:t>.</w:t>
      </w:r>
      <w:r w:rsidRPr="00D3430D">
        <w:t xml:space="preserve"> The Commentary considered </w:t>
      </w:r>
      <w:r w:rsidRPr="00D3430D">
        <w:rPr>
          <w:rFonts w:eastAsia="Calibri"/>
          <w:szCs w:val="22"/>
          <w:lang w:eastAsia="en-US"/>
        </w:rPr>
        <w:t>this value d</w:t>
      </w:r>
      <w:r>
        <w:rPr>
          <w:rFonts w:eastAsia="Calibri"/>
          <w:szCs w:val="22"/>
          <w:lang w:eastAsia="en-US"/>
        </w:rPr>
        <w:t>id</w:t>
      </w:r>
      <w:r w:rsidRPr="00D3430D">
        <w:rPr>
          <w:rFonts w:eastAsia="Calibri"/>
          <w:szCs w:val="22"/>
          <w:lang w:eastAsia="en-US"/>
        </w:rPr>
        <w:t xml:space="preserve"> not </w:t>
      </w:r>
      <w:r w:rsidRPr="007C6078">
        <w:t>accurately</w:t>
      </w:r>
      <w:r w:rsidRPr="00D3430D">
        <w:rPr>
          <w:rFonts w:eastAsia="Calibri"/>
          <w:szCs w:val="22"/>
          <w:lang w:eastAsia="en-US"/>
        </w:rPr>
        <w:t xml:space="preserve"> represent the ICER of olaparib in </w:t>
      </w:r>
      <w:proofErr w:type="spellStart"/>
      <w:r w:rsidRPr="00D3430D">
        <w:rPr>
          <w:rFonts w:eastAsia="Calibri"/>
          <w:szCs w:val="22"/>
          <w:lang w:eastAsia="en-US"/>
        </w:rPr>
        <w:t>mCRPC</w:t>
      </w:r>
      <w:proofErr w:type="spellEnd"/>
      <w:r w:rsidRPr="00D3430D">
        <w:rPr>
          <w:rFonts w:eastAsia="Calibri"/>
          <w:szCs w:val="22"/>
          <w:lang w:eastAsia="en-US"/>
        </w:rPr>
        <w:t xml:space="preserve"> patients with </w:t>
      </w:r>
      <w:r w:rsidRPr="00D3430D">
        <w:rPr>
          <w:rFonts w:eastAsia="Calibri"/>
          <w:i/>
          <w:szCs w:val="22"/>
          <w:lang w:eastAsia="en-US"/>
        </w:rPr>
        <w:t>BRCA1/2</w:t>
      </w:r>
      <w:r w:rsidRPr="00D3430D">
        <w:rPr>
          <w:rFonts w:eastAsia="Calibri"/>
          <w:szCs w:val="22"/>
          <w:lang w:eastAsia="en-US"/>
        </w:rPr>
        <w:t xml:space="preserve"> </w:t>
      </w:r>
      <w:r w:rsidRPr="007C6078">
        <w:t>pathogenic</w:t>
      </w:r>
      <w:r w:rsidRPr="00D3430D">
        <w:rPr>
          <w:rFonts w:eastAsia="Calibri"/>
          <w:szCs w:val="22"/>
          <w:lang w:eastAsia="en-US"/>
        </w:rPr>
        <w:t xml:space="preserve"> </w:t>
      </w:r>
      <w:r w:rsidR="00E370C0">
        <w:rPr>
          <w:rFonts w:eastAsia="Calibri" w:cs="Arial"/>
          <w:iCs/>
          <w:szCs w:val="22"/>
          <w:lang w:eastAsia="en-US"/>
        </w:rPr>
        <w:t>gene</w:t>
      </w:r>
      <w:r w:rsidR="00E370C0" w:rsidRPr="00DD13A3">
        <w:rPr>
          <w:rFonts w:eastAsia="Calibri" w:cs="Arial"/>
          <w:iCs/>
          <w:szCs w:val="22"/>
          <w:lang w:eastAsia="en-US"/>
        </w:rPr>
        <w:t xml:space="preserve"> </w:t>
      </w:r>
      <w:r w:rsidRPr="00D3430D">
        <w:rPr>
          <w:rFonts w:eastAsia="Calibri"/>
          <w:szCs w:val="22"/>
          <w:lang w:eastAsia="en-US"/>
        </w:rPr>
        <w:t>variants, for the following reasons:</w:t>
      </w:r>
    </w:p>
    <w:p w14:paraId="33CAE82D" w14:textId="77777777" w:rsidR="006B0FEE" w:rsidRPr="00D3430D" w:rsidRDefault="006B0FEE" w:rsidP="006B0FEE">
      <w:pPr>
        <w:pStyle w:val="ListParagraph"/>
        <w:numPr>
          <w:ilvl w:val="0"/>
          <w:numId w:val="33"/>
        </w:numPr>
        <w:ind w:left="697" w:hanging="357"/>
        <w:contextualSpacing w:val="0"/>
        <w:rPr>
          <w:rFonts w:eastAsia="Calibri"/>
          <w:iCs/>
          <w:szCs w:val="22"/>
          <w:lang w:eastAsia="en-US"/>
        </w:rPr>
      </w:pPr>
      <w:r w:rsidRPr="00D3430D">
        <w:rPr>
          <w:rFonts w:eastAsia="Calibri"/>
          <w:iCs/>
          <w:szCs w:val="22"/>
          <w:lang w:eastAsia="en-US"/>
        </w:rPr>
        <w:t xml:space="preserve">The comparator for olaparib in the model, NHA treatment, corresponded to the comparator in </w:t>
      </w:r>
      <w:proofErr w:type="spellStart"/>
      <w:r w:rsidRPr="00D3430D">
        <w:rPr>
          <w:rFonts w:eastAsia="Calibri"/>
          <w:iCs/>
          <w:szCs w:val="22"/>
          <w:lang w:eastAsia="en-US"/>
        </w:rPr>
        <w:t>PROfound</w:t>
      </w:r>
      <w:proofErr w:type="spellEnd"/>
      <w:r w:rsidRPr="00D3430D">
        <w:rPr>
          <w:rFonts w:eastAsia="Calibri"/>
          <w:iCs/>
          <w:szCs w:val="22"/>
          <w:lang w:eastAsia="en-US"/>
        </w:rPr>
        <w:t xml:space="preserve"> (olaparib versus NHA in patients who had progressed on previous NHA treatment) and was not representative of treatment in Australia as patients cannot receive a second NHA on the PBS if they have progressed on an NHA. As such, the comparison in the model does not represent a treatment sequence that will occur in Australian clinical practice. Use of data from the trial likely favoured olaparib since subsequent NHA is less likely to be effective due to cross resistance.</w:t>
      </w:r>
    </w:p>
    <w:p w14:paraId="0A39D434" w14:textId="77777777" w:rsidR="006B0FEE" w:rsidRPr="00D3430D" w:rsidRDefault="006B0FEE" w:rsidP="006B0FEE">
      <w:pPr>
        <w:pStyle w:val="ListParagraph"/>
        <w:numPr>
          <w:ilvl w:val="0"/>
          <w:numId w:val="33"/>
        </w:numPr>
        <w:ind w:left="697" w:hanging="357"/>
        <w:contextualSpacing w:val="0"/>
        <w:rPr>
          <w:rFonts w:eastAsia="Calibri"/>
          <w:iCs/>
          <w:szCs w:val="22"/>
          <w:lang w:eastAsia="en-US"/>
        </w:rPr>
      </w:pPr>
      <w:r w:rsidRPr="00D3430D">
        <w:rPr>
          <w:rFonts w:eastAsia="Calibri"/>
          <w:iCs/>
          <w:szCs w:val="22"/>
          <w:lang w:eastAsia="en-US"/>
        </w:rPr>
        <w:t xml:space="preserve">Along with the key comparator issue, the lack of information provided regarding the </w:t>
      </w:r>
      <w:r w:rsidRPr="00D3430D">
        <w:rPr>
          <w:rFonts w:eastAsia="Calibri"/>
          <w:i/>
          <w:iCs/>
          <w:szCs w:val="22"/>
          <w:lang w:eastAsia="en-US"/>
        </w:rPr>
        <w:t>BRCA1/2</w:t>
      </w:r>
      <w:r w:rsidRPr="00D3430D">
        <w:rPr>
          <w:rFonts w:eastAsia="Calibri"/>
          <w:iCs/>
          <w:szCs w:val="22"/>
          <w:lang w:eastAsia="en-US"/>
        </w:rPr>
        <w:t xml:space="preserve"> subgroup OS data and </w:t>
      </w:r>
      <w:proofErr w:type="spellStart"/>
      <w:r w:rsidRPr="00D3430D">
        <w:rPr>
          <w:rFonts w:eastAsia="Calibri"/>
          <w:iCs/>
          <w:szCs w:val="22"/>
          <w:lang w:eastAsia="en-US"/>
        </w:rPr>
        <w:t>rPFS</w:t>
      </w:r>
      <w:proofErr w:type="spellEnd"/>
      <w:r w:rsidRPr="00D3430D">
        <w:rPr>
          <w:rFonts w:eastAsia="Calibri"/>
          <w:iCs/>
          <w:szCs w:val="22"/>
          <w:lang w:eastAsia="en-US"/>
        </w:rPr>
        <w:t xml:space="preserve"> data used in the model does not allow for adequate consideration of the evidence. For </w:t>
      </w:r>
      <w:proofErr w:type="spellStart"/>
      <w:r w:rsidRPr="00D3430D">
        <w:rPr>
          <w:rFonts w:eastAsia="Calibri"/>
          <w:iCs/>
          <w:szCs w:val="22"/>
          <w:lang w:eastAsia="en-US"/>
        </w:rPr>
        <w:t>rPFS</w:t>
      </w:r>
      <w:proofErr w:type="spellEnd"/>
      <w:r w:rsidRPr="00D3430D">
        <w:rPr>
          <w:rFonts w:eastAsia="Calibri"/>
          <w:iCs/>
          <w:szCs w:val="22"/>
          <w:lang w:eastAsia="en-US"/>
        </w:rPr>
        <w:t xml:space="preserve">, the submission applied values based on the </w:t>
      </w:r>
      <w:r w:rsidRPr="00D3430D">
        <w:rPr>
          <w:rFonts w:eastAsia="Calibri"/>
          <w:i/>
          <w:iCs/>
          <w:szCs w:val="22"/>
          <w:lang w:eastAsia="en-US"/>
        </w:rPr>
        <w:t>BRCA1/2</w:t>
      </w:r>
      <w:r w:rsidRPr="00D3430D">
        <w:rPr>
          <w:rFonts w:eastAsia="Calibri"/>
          <w:iCs/>
          <w:szCs w:val="22"/>
          <w:lang w:eastAsia="en-US"/>
        </w:rPr>
        <w:t xml:space="preserve"> subgroup of </w:t>
      </w:r>
      <w:proofErr w:type="spellStart"/>
      <w:r w:rsidRPr="00D3430D">
        <w:rPr>
          <w:rFonts w:eastAsia="Calibri"/>
          <w:iCs/>
          <w:szCs w:val="22"/>
          <w:lang w:eastAsia="en-US"/>
        </w:rPr>
        <w:t>PROfound</w:t>
      </w:r>
      <w:proofErr w:type="spellEnd"/>
      <w:r w:rsidRPr="00D3430D">
        <w:rPr>
          <w:rFonts w:eastAsia="Calibri"/>
          <w:iCs/>
          <w:szCs w:val="22"/>
          <w:lang w:eastAsia="en-US"/>
        </w:rPr>
        <w:t>. While this population was representative of the proposed PBS population, the submission did not provide any information on the baseline demographic and disease characteristics of this subgroup, nor did the submission provide results for analysis of the complement subgroup. Thus, the subgroup analyses were not strongly supported.</w:t>
      </w:r>
    </w:p>
    <w:p w14:paraId="678E77CD" w14:textId="2FCEA93F" w:rsidR="006B0FEE" w:rsidRPr="00905593" w:rsidRDefault="006B0FEE" w:rsidP="006B0FEE">
      <w:pPr>
        <w:pStyle w:val="ListParagraph"/>
        <w:numPr>
          <w:ilvl w:val="0"/>
          <w:numId w:val="33"/>
        </w:numPr>
        <w:ind w:left="697" w:hanging="357"/>
        <w:contextualSpacing w:val="0"/>
        <w:rPr>
          <w:rFonts w:eastAsia="Calibri"/>
          <w:iCs/>
          <w:szCs w:val="22"/>
          <w:lang w:eastAsia="en-US"/>
        </w:rPr>
      </w:pPr>
      <w:r w:rsidRPr="00D3430D">
        <w:rPr>
          <w:rFonts w:eastAsia="Calibri"/>
          <w:iCs/>
          <w:szCs w:val="22"/>
          <w:lang w:eastAsia="en-US"/>
        </w:rPr>
        <w:t xml:space="preserve">For OS, the submission indicated that the model would be based on the </w:t>
      </w:r>
      <w:r w:rsidRPr="00D3430D">
        <w:rPr>
          <w:rFonts w:eastAsia="Calibri"/>
          <w:i/>
          <w:iCs/>
          <w:szCs w:val="22"/>
          <w:lang w:eastAsia="en-US"/>
        </w:rPr>
        <w:t>BRCA1/2</w:t>
      </w:r>
      <w:r w:rsidRPr="00D3430D">
        <w:rPr>
          <w:rFonts w:eastAsia="Calibri"/>
          <w:iCs/>
          <w:szCs w:val="22"/>
          <w:lang w:eastAsia="en-US"/>
        </w:rPr>
        <w:t xml:space="preserve"> subgroup of </w:t>
      </w:r>
      <w:proofErr w:type="spellStart"/>
      <w:r w:rsidRPr="00D3430D">
        <w:rPr>
          <w:rFonts w:eastAsia="Calibri"/>
          <w:iCs/>
          <w:szCs w:val="22"/>
          <w:lang w:eastAsia="en-US"/>
        </w:rPr>
        <w:t>PROfound</w:t>
      </w:r>
      <w:proofErr w:type="spellEnd"/>
      <w:r w:rsidRPr="00D3430D">
        <w:rPr>
          <w:rFonts w:eastAsia="Calibri"/>
          <w:iCs/>
          <w:szCs w:val="22"/>
          <w:lang w:eastAsia="en-US"/>
        </w:rPr>
        <w:t xml:space="preserve">, and that OS data would be adjusted for treatment switching. However, except for the point estimate and 95% CI for the treatment-switching adjusted analysis of OS for the </w:t>
      </w:r>
      <w:r w:rsidRPr="00D3430D">
        <w:rPr>
          <w:rFonts w:eastAsia="Calibri"/>
          <w:i/>
          <w:iCs/>
          <w:szCs w:val="22"/>
          <w:lang w:eastAsia="en-US"/>
        </w:rPr>
        <w:t>BRCA1/2</w:t>
      </w:r>
      <w:r w:rsidRPr="00D3430D">
        <w:rPr>
          <w:rFonts w:eastAsia="Calibri"/>
          <w:iCs/>
          <w:szCs w:val="22"/>
          <w:lang w:eastAsia="en-US"/>
        </w:rPr>
        <w:t xml:space="preserve"> subgroup, the adjustment method used (</w:t>
      </w:r>
      <w:r w:rsidR="00861650" w:rsidRPr="00D3430D">
        <w:rPr>
          <w:rFonts w:eastAsia="SimSun"/>
          <w:snapToGrid w:val="0"/>
        </w:rPr>
        <w:t>rank preserving structural failure time model</w:t>
      </w:r>
      <w:r w:rsidR="00861650" w:rsidRPr="00D3430D">
        <w:rPr>
          <w:rFonts w:eastAsia="Calibri"/>
          <w:iCs/>
          <w:szCs w:val="22"/>
          <w:lang w:eastAsia="en-US"/>
        </w:rPr>
        <w:t xml:space="preserve"> </w:t>
      </w:r>
      <w:r w:rsidR="00861650">
        <w:rPr>
          <w:rFonts w:eastAsia="Calibri"/>
          <w:iCs/>
          <w:szCs w:val="22"/>
          <w:lang w:eastAsia="en-US"/>
        </w:rPr>
        <w:t xml:space="preserve">or </w:t>
      </w:r>
      <w:r w:rsidRPr="00D3430D">
        <w:rPr>
          <w:rFonts w:eastAsia="Calibri"/>
          <w:iCs/>
          <w:szCs w:val="22"/>
          <w:lang w:eastAsia="en-US"/>
        </w:rPr>
        <w:t>RPSFTM)</w:t>
      </w:r>
      <w:r w:rsidR="00861650">
        <w:rPr>
          <w:rFonts w:eastAsia="Calibri"/>
          <w:iCs/>
          <w:szCs w:val="22"/>
          <w:lang w:eastAsia="en-US"/>
        </w:rPr>
        <w:t>,</w:t>
      </w:r>
      <w:r w:rsidRPr="00D3430D">
        <w:rPr>
          <w:rFonts w:eastAsia="Calibri"/>
          <w:iCs/>
          <w:szCs w:val="22"/>
          <w:lang w:eastAsia="en-US"/>
        </w:rPr>
        <w:t xml:space="preserve"> and the type of extrapolation applied, the submission provided no information on the subgroup analysis for OS that was used in the model (</w:t>
      </w:r>
      <w:proofErr w:type="spellStart"/>
      <w:r w:rsidRPr="00D3430D">
        <w:rPr>
          <w:rFonts w:eastAsia="Calibri"/>
          <w:iCs/>
          <w:szCs w:val="22"/>
          <w:lang w:eastAsia="en-US"/>
        </w:rPr>
        <w:t>ie</w:t>
      </w:r>
      <w:proofErr w:type="spellEnd"/>
      <w:r w:rsidRPr="00D3430D">
        <w:rPr>
          <w:rFonts w:eastAsia="Calibri"/>
          <w:iCs/>
          <w:szCs w:val="22"/>
          <w:lang w:eastAsia="en-US"/>
        </w:rPr>
        <w:t xml:space="preserve"> median OS, test of interaction results, subgroup complement results). In addition, the use of RPSFTM to adjust for treatment switching was not the appropriate methodology to use. The change in point estimate with adjustment for switching (HR changed </w:t>
      </w:r>
      <w:r w:rsidRPr="00905593">
        <w:rPr>
          <w:rFonts w:eastAsia="Calibri"/>
          <w:iCs/>
          <w:szCs w:val="22"/>
          <w:lang w:eastAsia="en-US"/>
        </w:rPr>
        <w:t xml:space="preserve">from </w:t>
      </w:r>
      <w:r w:rsidRPr="006B6B9E">
        <w:rPr>
          <w:rFonts w:eastAsia="Calibri"/>
          <w:iCs/>
          <w:szCs w:val="22"/>
          <w:lang w:eastAsia="en-US"/>
        </w:rPr>
        <w:t>0.63</w:t>
      </w:r>
      <w:r w:rsidRPr="00905593">
        <w:rPr>
          <w:rFonts w:eastAsia="Calibri"/>
          <w:iCs/>
          <w:szCs w:val="22"/>
          <w:lang w:eastAsia="en-US"/>
        </w:rPr>
        <w:t xml:space="preserve"> to </w:t>
      </w:r>
      <w:r w:rsidR="006B6B9E" w:rsidRPr="006B6B9E">
        <w:rPr>
          <w:rFonts w:eastAsia="Calibri"/>
          <w:b/>
          <w:bCs/>
          <w:iCs/>
          <w:szCs w:val="22"/>
          <w:lang w:eastAsia="en-US"/>
        </w:rPr>
        <w:t>redacted</w:t>
      </w:r>
      <w:r w:rsidR="00D77208" w:rsidRPr="006B6B9E">
        <w:rPr>
          <w:rStyle w:val="FootnoteReference"/>
          <w:rFonts w:eastAsia="Calibri"/>
          <w:iCs/>
          <w:szCs w:val="22"/>
          <w:lang w:eastAsia="en-US"/>
        </w:rPr>
        <w:footnoteReference w:id="14"/>
      </w:r>
      <w:r w:rsidR="00D77208" w:rsidRPr="006B6B9E">
        <w:rPr>
          <w:rFonts w:eastAsia="Calibri"/>
          <w:iCs/>
          <w:szCs w:val="22"/>
          <w:lang w:eastAsia="en-US"/>
        </w:rPr>
        <w:t xml:space="preserve">) </w:t>
      </w:r>
      <w:r w:rsidRPr="006B6B9E">
        <w:rPr>
          <w:rFonts w:eastAsia="Calibri"/>
          <w:iCs/>
          <w:szCs w:val="22"/>
          <w:lang w:eastAsia="en-US"/>
        </w:rPr>
        <w:t>was considerable and could not be validated. Sensitivity analysis showed the model was sensitive to use of adjustment for treatment switching, with the ICER increasing from $</w:t>
      </w:r>
      <w:r w:rsidR="006B6B9E" w:rsidRPr="006B6B9E">
        <w:rPr>
          <w:rFonts w:eastAsia="Calibri"/>
          <w:b/>
          <w:bCs/>
          <w:iCs/>
          <w:szCs w:val="22"/>
          <w:lang w:eastAsia="en-US"/>
        </w:rPr>
        <w:t>redacted</w:t>
      </w:r>
      <w:r w:rsidRPr="006B6B9E">
        <w:rPr>
          <w:rFonts w:eastAsia="Calibri"/>
          <w:iCs/>
          <w:szCs w:val="22"/>
          <w:lang w:eastAsia="en-US"/>
        </w:rPr>
        <w:t>/QALY to $</w:t>
      </w:r>
      <w:r w:rsidR="006B6B9E" w:rsidRPr="006B6B9E">
        <w:rPr>
          <w:rFonts w:eastAsia="Calibri"/>
          <w:b/>
          <w:bCs/>
          <w:iCs/>
          <w:szCs w:val="22"/>
          <w:lang w:eastAsia="en-US"/>
        </w:rPr>
        <w:t>redacted</w:t>
      </w:r>
      <w:r w:rsidRPr="006B6B9E">
        <w:rPr>
          <w:rFonts w:eastAsia="Calibri"/>
          <w:iCs/>
          <w:szCs w:val="22"/>
          <w:lang w:eastAsia="en-US"/>
        </w:rPr>
        <w:t>/QALY when unadjusted OS data</w:t>
      </w:r>
      <w:r w:rsidRPr="00905593">
        <w:rPr>
          <w:rFonts w:eastAsia="Calibri"/>
          <w:iCs/>
          <w:szCs w:val="22"/>
          <w:lang w:eastAsia="en-US"/>
        </w:rPr>
        <w:t xml:space="preserve"> was used.</w:t>
      </w:r>
    </w:p>
    <w:p w14:paraId="5F96D40E" w14:textId="77777777" w:rsidR="006B0FEE" w:rsidRPr="00D3430D" w:rsidRDefault="006B0FEE" w:rsidP="006B0FEE">
      <w:pPr>
        <w:pStyle w:val="ListParagraph"/>
        <w:numPr>
          <w:ilvl w:val="0"/>
          <w:numId w:val="33"/>
        </w:numPr>
        <w:ind w:left="697" w:hanging="357"/>
        <w:contextualSpacing w:val="0"/>
        <w:rPr>
          <w:rFonts w:eastAsia="Calibri"/>
          <w:iCs/>
          <w:szCs w:val="22"/>
          <w:lang w:eastAsia="en-US"/>
        </w:rPr>
      </w:pPr>
      <w:r w:rsidRPr="00D3430D">
        <w:rPr>
          <w:rFonts w:eastAsia="Calibri"/>
          <w:iCs/>
          <w:szCs w:val="22"/>
          <w:lang w:eastAsia="en-US"/>
        </w:rPr>
        <w:t xml:space="preserve">Costs applied in the model were not likely to be accurate. Testing costs were inappropriately applied to 67% of patients in the NHA arm to account for patients who switched to olaparib treatment in the </w:t>
      </w:r>
      <w:proofErr w:type="spellStart"/>
      <w:r w:rsidRPr="00D3430D">
        <w:rPr>
          <w:rFonts w:eastAsia="Calibri"/>
          <w:iCs/>
          <w:szCs w:val="22"/>
          <w:lang w:eastAsia="en-US"/>
        </w:rPr>
        <w:t>PROfound</w:t>
      </w:r>
      <w:proofErr w:type="spellEnd"/>
      <w:r w:rsidRPr="00D3430D">
        <w:rPr>
          <w:rFonts w:eastAsia="Calibri"/>
          <w:iCs/>
          <w:szCs w:val="22"/>
          <w:lang w:eastAsia="en-US"/>
        </w:rPr>
        <w:t xml:space="preserve"> trial. In addition, the submission did not consider germline testing in patients with a positive </w:t>
      </w:r>
      <w:r w:rsidRPr="00D3430D">
        <w:rPr>
          <w:rFonts w:eastAsia="Calibri"/>
          <w:i/>
          <w:iCs/>
          <w:szCs w:val="22"/>
          <w:lang w:eastAsia="en-US"/>
        </w:rPr>
        <w:t>BRCA1/2</w:t>
      </w:r>
      <w:r w:rsidRPr="00D3430D">
        <w:rPr>
          <w:rFonts w:eastAsia="Calibri"/>
          <w:iCs/>
          <w:szCs w:val="22"/>
          <w:lang w:eastAsia="en-US"/>
        </w:rPr>
        <w:t xml:space="preserve"> somatic test, or cascade testing of family members.</w:t>
      </w:r>
    </w:p>
    <w:p w14:paraId="3851FC19" w14:textId="77777777" w:rsidR="006B0FEE" w:rsidRPr="00D3430D" w:rsidRDefault="006B0FEE" w:rsidP="006B0FEE">
      <w:pPr>
        <w:pStyle w:val="ListParagraph"/>
        <w:numPr>
          <w:ilvl w:val="0"/>
          <w:numId w:val="33"/>
        </w:numPr>
        <w:ind w:left="697" w:hanging="357"/>
        <w:contextualSpacing w:val="0"/>
        <w:rPr>
          <w:rFonts w:eastAsia="Calibri"/>
          <w:iCs/>
          <w:szCs w:val="22"/>
          <w:lang w:eastAsia="en-US"/>
        </w:rPr>
      </w:pPr>
      <w:r w:rsidRPr="00D3430D">
        <w:rPr>
          <w:rFonts w:eastAsia="Calibri"/>
          <w:iCs/>
          <w:szCs w:val="22"/>
          <w:lang w:eastAsia="en-US"/>
        </w:rPr>
        <w:t xml:space="preserve">While the utility values were trial-based, they appeared high for </w:t>
      </w:r>
      <w:proofErr w:type="spellStart"/>
      <w:r w:rsidRPr="00D3430D">
        <w:rPr>
          <w:rFonts w:eastAsia="Calibri"/>
          <w:iCs/>
          <w:szCs w:val="22"/>
          <w:lang w:eastAsia="en-US"/>
        </w:rPr>
        <w:t>mCRPC</w:t>
      </w:r>
      <w:proofErr w:type="spellEnd"/>
      <w:r w:rsidRPr="00D3430D">
        <w:rPr>
          <w:rFonts w:eastAsia="Calibri"/>
          <w:iCs/>
          <w:szCs w:val="22"/>
          <w:lang w:eastAsia="en-US"/>
        </w:rPr>
        <w:t xml:space="preserve"> patients (0.7532 for progression-free survival and 0.7034 for progressed disease). The submission also applied the same utility values to olaparib and NHS-treated patients, which may not be reasonable given more AEs are expected with olaparib treatment compared to NHA. Finally, a ‘time to death’ disutility was applied (for death within 1 year, value depended on proximity to death) although the ICER was not sensitive to this variable, its use, which was not explained or justified by the submission.</w:t>
      </w:r>
    </w:p>
    <w:p w14:paraId="3C410AD9" w14:textId="77777777" w:rsidR="006B0FEE" w:rsidRPr="00D3430D" w:rsidRDefault="006B0FEE" w:rsidP="006B0FEE">
      <w:pPr>
        <w:pStyle w:val="ListParagraph"/>
        <w:numPr>
          <w:ilvl w:val="0"/>
          <w:numId w:val="33"/>
        </w:numPr>
        <w:ind w:left="697" w:hanging="357"/>
        <w:contextualSpacing w:val="0"/>
        <w:rPr>
          <w:rFonts w:eastAsia="Calibri"/>
          <w:iCs/>
          <w:szCs w:val="22"/>
          <w:lang w:eastAsia="en-US"/>
        </w:rPr>
      </w:pPr>
      <w:r w:rsidRPr="00D3430D">
        <w:rPr>
          <w:rFonts w:eastAsia="Calibri"/>
          <w:iCs/>
          <w:szCs w:val="22"/>
          <w:lang w:eastAsia="en-US"/>
        </w:rPr>
        <w:t xml:space="preserve">The model applied an exponential distribution to time on treatment from </w:t>
      </w:r>
      <w:proofErr w:type="spellStart"/>
      <w:r w:rsidRPr="00D3430D">
        <w:rPr>
          <w:rFonts w:eastAsia="Calibri"/>
          <w:iCs/>
          <w:szCs w:val="22"/>
          <w:lang w:eastAsia="en-US"/>
        </w:rPr>
        <w:t>PROfound</w:t>
      </w:r>
      <w:proofErr w:type="spellEnd"/>
      <w:r w:rsidRPr="00D3430D">
        <w:rPr>
          <w:rFonts w:eastAsia="Calibri"/>
          <w:iCs/>
          <w:szCs w:val="22"/>
          <w:lang w:eastAsia="en-US"/>
        </w:rPr>
        <w:t xml:space="preserve">. The time on treatment extrapolated was sourced from the combined Cohort A and Cohort B populations, which were not representative of the claimed model population, </w:t>
      </w:r>
      <w:proofErr w:type="spellStart"/>
      <w:r w:rsidRPr="00D3430D">
        <w:rPr>
          <w:rFonts w:eastAsia="Calibri"/>
          <w:iCs/>
          <w:szCs w:val="22"/>
          <w:lang w:eastAsia="en-US"/>
        </w:rPr>
        <w:t>ie</w:t>
      </w:r>
      <w:proofErr w:type="spellEnd"/>
      <w:r w:rsidRPr="00D3430D">
        <w:rPr>
          <w:rFonts w:eastAsia="Calibri"/>
          <w:iCs/>
          <w:szCs w:val="22"/>
          <w:lang w:eastAsia="en-US"/>
        </w:rPr>
        <w:t xml:space="preserve"> patients with </w:t>
      </w:r>
      <w:r w:rsidRPr="00D3430D">
        <w:rPr>
          <w:rFonts w:eastAsia="Calibri"/>
          <w:i/>
          <w:iCs/>
          <w:szCs w:val="22"/>
          <w:lang w:eastAsia="en-US"/>
        </w:rPr>
        <w:t>BRCA1/2</w:t>
      </w:r>
      <w:r w:rsidRPr="00D3430D">
        <w:rPr>
          <w:rFonts w:eastAsia="Calibri"/>
          <w:iCs/>
          <w:szCs w:val="22"/>
          <w:lang w:eastAsia="en-US"/>
        </w:rPr>
        <w:t xml:space="preserve"> pathogenic gene variants. Further, the submission’s extrapolation of time on treatment, which used an exponential distribution (no </w:t>
      </w:r>
      <w:r w:rsidRPr="00D3430D">
        <w:rPr>
          <w:rFonts w:eastAsia="Calibri"/>
          <w:iCs/>
          <w:szCs w:val="22"/>
          <w:lang w:eastAsia="en-US"/>
        </w:rPr>
        <w:lastRenderedPageBreak/>
        <w:t xml:space="preserve">justification was provided for the chosen method of extrapolation), resulted in patients being available for treatment for years longer than they were predicted to be alive by the model (2.7 years longer for olaparib-treated patients and 2.6 years longer for NHA-treated patients). While treatment costs were obviously not applied once patients were no longer alive, the extrapolation used did not seem to accurately estimate treatment duration. Further, the time on treatment that was extrapolated by the submission was based on the June 2019 data cut for </w:t>
      </w:r>
      <w:proofErr w:type="spellStart"/>
      <w:r w:rsidRPr="00D3430D">
        <w:rPr>
          <w:rFonts w:eastAsia="Calibri"/>
          <w:iCs/>
          <w:szCs w:val="22"/>
          <w:lang w:eastAsia="en-US"/>
        </w:rPr>
        <w:t>PROfound</w:t>
      </w:r>
      <w:proofErr w:type="spellEnd"/>
      <w:r w:rsidRPr="00D3430D">
        <w:rPr>
          <w:rFonts w:eastAsia="Calibri"/>
          <w:iCs/>
          <w:szCs w:val="22"/>
          <w:lang w:eastAsia="en-US"/>
        </w:rPr>
        <w:t>, but the OS results used in the model were based on the March 2020 data cut. The submission did not justify why treatment duration from an earlier data cut was used.</w:t>
      </w:r>
    </w:p>
    <w:p w14:paraId="2649F06A" w14:textId="77777777" w:rsidR="006B0FEE" w:rsidRPr="00D3430D" w:rsidRDefault="006B0FEE" w:rsidP="006B0FEE">
      <w:pPr>
        <w:pStyle w:val="ListParagraph"/>
        <w:numPr>
          <w:ilvl w:val="0"/>
          <w:numId w:val="33"/>
        </w:numPr>
        <w:ind w:left="697" w:hanging="357"/>
        <w:contextualSpacing w:val="0"/>
        <w:rPr>
          <w:rFonts w:eastAsia="Calibri"/>
          <w:iCs/>
          <w:szCs w:val="22"/>
          <w:lang w:eastAsia="en-US"/>
        </w:rPr>
      </w:pPr>
      <w:r w:rsidRPr="00D3430D">
        <w:rPr>
          <w:rFonts w:eastAsia="Calibri"/>
          <w:iCs/>
          <w:szCs w:val="22"/>
          <w:lang w:eastAsia="en-US"/>
        </w:rPr>
        <w:t xml:space="preserve">While there was an overall survival advantage for olaparib-treated patients in the </w:t>
      </w:r>
      <w:proofErr w:type="spellStart"/>
      <w:r w:rsidRPr="00D3430D">
        <w:rPr>
          <w:rFonts w:eastAsia="Calibri"/>
          <w:iCs/>
          <w:szCs w:val="22"/>
          <w:lang w:eastAsia="en-US"/>
        </w:rPr>
        <w:t>PROfound</w:t>
      </w:r>
      <w:proofErr w:type="spellEnd"/>
      <w:r w:rsidRPr="00D3430D">
        <w:rPr>
          <w:rFonts w:eastAsia="Calibri"/>
          <w:iCs/>
          <w:szCs w:val="22"/>
          <w:lang w:eastAsia="en-US"/>
        </w:rPr>
        <w:t xml:space="preserve"> trial, which was claimed to increase for the proposed </w:t>
      </w:r>
      <w:r w:rsidRPr="00D3430D">
        <w:rPr>
          <w:rFonts w:eastAsia="Calibri"/>
          <w:i/>
          <w:iCs/>
          <w:szCs w:val="22"/>
          <w:lang w:eastAsia="en-US"/>
        </w:rPr>
        <w:t>BRCA1/2</w:t>
      </w:r>
      <w:r w:rsidRPr="00D3430D">
        <w:rPr>
          <w:rFonts w:eastAsia="Calibri"/>
          <w:iCs/>
          <w:szCs w:val="22"/>
          <w:lang w:eastAsia="en-US"/>
        </w:rPr>
        <w:t xml:space="preserve"> subgroup and when treatment switching was adjusted for, the estimated ICER cannot be considered accurate, given the points noted above.</w:t>
      </w:r>
    </w:p>
    <w:p w14:paraId="7D98D437" w14:textId="77777777" w:rsidR="006B0FEE" w:rsidRPr="00D3430D" w:rsidRDefault="006B0FEE" w:rsidP="006B0FEE">
      <w:pPr>
        <w:pStyle w:val="ListParagraph"/>
        <w:numPr>
          <w:ilvl w:val="0"/>
          <w:numId w:val="33"/>
        </w:numPr>
        <w:ind w:left="697" w:hanging="357"/>
        <w:contextualSpacing w:val="0"/>
        <w:rPr>
          <w:rFonts w:eastAsia="Calibri"/>
          <w:iCs/>
          <w:szCs w:val="22"/>
          <w:lang w:eastAsia="en-US"/>
        </w:rPr>
      </w:pPr>
      <w:r w:rsidRPr="00D3430D">
        <w:rPr>
          <w:rFonts w:eastAsia="Calibri"/>
          <w:iCs/>
          <w:szCs w:val="22"/>
          <w:lang w:eastAsia="en-US"/>
        </w:rPr>
        <w:t xml:space="preserve">Consideration of various </w:t>
      </w:r>
      <w:r w:rsidRPr="00D3430D">
        <w:rPr>
          <w:rFonts w:eastAsia="Calibri"/>
          <w:i/>
          <w:iCs/>
          <w:szCs w:val="22"/>
          <w:lang w:eastAsia="en-US"/>
        </w:rPr>
        <w:t>BRCA1/2</w:t>
      </w:r>
      <w:r w:rsidRPr="00D3430D">
        <w:rPr>
          <w:rFonts w:eastAsia="Calibri"/>
          <w:iCs/>
          <w:szCs w:val="22"/>
          <w:lang w:eastAsia="en-US"/>
        </w:rPr>
        <w:t xml:space="preserve"> and olaparib funding scenarios (test funded by MBS and treatment funded by PBS, respectively) was not possible given the submission did not provide a test and treatment model, and also given that the model assumed all patients truly had a </w:t>
      </w:r>
      <w:r w:rsidRPr="00D3430D">
        <w:rPr>
          <w:rFonts w:eastAsia="Calibri"/>
          <w:i/>
          <w:iCs/>
          <w:szCs w:val="22"/>
          <w:lang w:eastAsia="en-US"/>
        </w:rPr>
        <w:t>BRCA1/2</w:t>
      </w:r>
      <w:r w:rsidRPr="00D3430D">
        <w:rPr>
          <w:rFonts w:eastAsia="Calibri"/>
          <w:iCs/>
          <w:szCs w:val="22"/>
          <w:lang w:eastAsia="en-US"/>
        </w:rPr>
        <w:t xml:space="preserve"> pathogenic gene variant.</w:t>
      </w:r>
    </w:p>
    <w:p w14:paraId="3839A2F6" w14:textId="2650DBA5" w:rsidR="006B0FEE" w:rsidRPr="00D3430D" w:rsidRDefault="006B0FEE" w:rsidP="007C2DC0">
      <w:pPr>
        <w:keepNext/>
        <w:spacing w:before="240" w:after="40"/>
        <w:outlineLvl w:val="4"/>
        <w:rPr>
          <w:rFonts w:ascii="Arial Narrow" w:hAnsi="Arial Narrow" w:cs="Arial"/>
          <w:b/>
          <w:bCs/>
          <w:iCs/>
          <w:sz w:val="20"/>
          <w:lang w:eastAsia="en-US"/>
        </w:rPr>
      </w:pPr>
      <w:r w:rsidRPr="00D3430D">
        <w:rPr>
          <w:rFonts w:ascii="Arial Narrow" w:hAnsi="Arial Narrow" w:cs="Arial"/>
          <w:b/>
          <w:bCs/>
          <w:iCs/>
          <w:sz w:val="20"/>
          <w:lang w:eastAsia="en-US"/>
        </w:rPr>
        <w:t xml:space="preserve">Table </w:t>
      </w:r>
      <w:r w:rsidR="005B737C">
        <w:rPr>
          <w:rFonts w:ascii="Arial Narrow" w:hAnsi="Arial Narrow" w:cs="Arial"/>
          <w:b/>
          <w:bCs/>
          <w:iCs/>
          <w:sz w:val="20"/>
          <w:lang w:eastAsia="en-US"/>
        </w:rPr>
        <w:t>7</w:t>
      </w:r>
      <w:r w:rsidRPr="00D3430D">
        <w:rPr>
          <w:rFonts w:ascii="Arial Narrow" w:hAnsi="Arial Narrow" w:cs="Arial"/>
          <w:b/>
          <w:bCs/>
          <w:iCs/>
          <w:sz w:val="20"/>
          <w:lang w:eastAsia="en-US"/>
        </w:rPr>
        <w:tab/>
        <w:t xml:space="preserve">ICERs and considerations of various </w:t>
      </w:r>
      <w:r w:rsidRPr="00AD358F">
        <w:rPr>
          <w:rFonts w:ascii="Arial Narrow" w:hAnsi="Arial Narrow" w:cs="Arial"/>
          <w:b/>
          <w:bCs/>
          <w:i/>
          <w:iCs/>
          <w:sz w:val="20"/>
          <w:lang w:eastAsia="en-US"/>
        </w:rPr>
        <w:t xml:space="preserve">BRCA </w:t>
      </w:r>
      <w:r w:rsidRPr="00D3430D">
        <w:rPr>
          <w:rFonts w:ascii="Arial Narrow" w:hAnsi="Arial Narrow" w:cs="Arial"/>
          <w:b/>
          <w:bCs/>
          <w:iCs/>
          <w:sz w:val="20"/>
          <w:lang w:eastAsia="en-US"/>
        </w:rPr>
        <w:t>testing and olaparib funding scenarios</w:t>
      </w:r>
    </w:p>
    <w:tbl>
      <w:tblPr>
        <w:tblStyle w:val="PBACTableStyle1"/>
        <w:tblW w:w="5000" w:type="pct"/>
        <w:tblLook w:val="04A0" w:firstRow="1" w:lastRow="0" w:firstColumn="1" w:lastColumn="0" w:noHBand="0" w:noVBand="1"/>
        <w:tblDescription w:val="ICERs and considerations of various BRCA testing and olaparib funding scenarios"/>
      </w:tblPr>
      <w:tblGrid>
        <w:gridCol w:w="3540"/>
        <w:gridCol w:w="5476"/>
      </w:tblGrid>
      <w:tr w:rsidR="006B0FEE" w:rsidRPr="00D3430D" w14:paraId="0CA4616B" w14:textId="77777777" w:rsidTr="00360CB8">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1963" w:type="pct"/>
          </w:tcPr>
          <w:p w14:paraId="162D8020" w14:textId="77777777" w:rsidR="006B0FEE" w:rsidRPr="00D3430D" w:rsidRDefault="006B0FEE" w:rsidP="00AB5518">
            <w:pPr>
              <w:keepNext/>
              <w:keepLines/>
              <w:spacing w:before="40" w:after="40" w:line="256" w:lineRule="auto"/>
              <w:rPr>
                <w:rFonts w:ascii="Arial Narrow" w:hAnsi="Arial Narrow"/>
                <w:sz w:val="20"/>
              </w:rPr>
            </w:pPr>
          </w:p>
        </w:tc>
        <w:tc>
          <w:tcPr>
            <w:tcW w:w="3037" w:type="pct"/>
          </w:tcPr>
          <w:p w14:paraId="6A990D69" w14:textId="740E8364" w:rsidR="006B0FEE" w:rsidRPr="00D3430D" w:rsidRDefault="006B0FEE" w:rsidP="001C1D73">
            <w:pPr>
              <w:keepNext/>
              <w:keepLines/>
              <w:spacing w:before="40" w:after="40" w:line="256" w:lineRule="auto"/>
              <w:jc w:val="left"/>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D3430D">
              <w:rPr>
                <w:rFonts w:ascii="Arial Narrow" w:hAnsi="Arial Narrow"/>
                <w:sz w:val="20"/>
              </w:rPr>
              <w:t>Proposed PB</w:t>
            </w:r>
            <w:r w:rsidR="001C1D73">
              <w:rPr>
                <w:rFonts w:ascii="Arial Narrow" w:hAnsi="Arial Narrow"/>
                <w:sz w:val="20"/>
              </w:rPr>
              <w:t>S</w:t>
            </w:r>
            <w:r w:rsidRPr="00D3430D">
              <w:rPr>
                <w:rFonts w:ascii="Arial Narrow" w:hAnsi="Arial Narrow"/>
                <w:sz w:val="20"/>
              </w:rPr>
              <w:t xml:space="preserve"> funded olaparib in </w:t>
            </w:r>
            <w:proofErr w:type="spellStart"/>
            <w:r w:rsidRPr="00D3430D">
              <w:rPr>
                <w:rFonts w:ascii="Arial Narrow" w:hAnsi="Arial Narrow"/>
                <w:sz w:val="20"/>
              </w:rPr>
              <w:t>mCRPC</w:t>
            </w:r>
            <w:proofErr w:type="spellEnd"/>
            <w:r w:rsidRPr="00D3430D">
              <w:rPr>
                <w:rFonts w:ascii="Arial Narrow" w:hAnsi="Arial Narrow"/>
                <w:sz w:val="20"/>
              </w:rPr>
              <w:t xml:space="preserve"> patients who failed NHA</w:t>
            </w:r>
          </w:p>
        </w:tc>
      </w:tr>
      <w:tr w:rsidR="006B0FEE" w:rsidRPr="00D3430D" w14:paraId="0820B868" w14:textId="77777777" w:rsidTr="001C1D73">
        <w:trPr>
          <w:trHeight w:val="235"/>
        </w:trPr>
        <w:tc>
          <w:tcPr>
            <w:cnfStyle w:val="001000000000" w:firstRow="0" w:lastRow="0" w:firstColumn="1" w:lastColumn="0" w:oddVBand="0" w:evenVBand="0" w:oddHBand="0" w:evenHBand="0" w:firstRowFirstColumn="0" w:firstRowLastColumn="0" w:lastRowFirstColumn="0" w:lastRowLastColumn="0"/>
            <w:tcW w:w="1963" w:type="pct"/>
          </w:tcPr>
          <w:p w14:paraId="193A0B68" w14:textId="77777777" w:rsidR="006B0FEE" w:rsidRPr="00D3430D" w:rsidRDefault="006B0FEE" w:rsidP="00AB5518">
            <w:pPr>
              <w:keepNext/>
              <w:keepLines/>
              <w:spacing w:before="40" w:after="40" w:line="256" w:lineRule="auto"/>
              <w:rPr>
                <w:rFonts w:ascii="Arial Narrow" w:hAnsi="Arial Narrow"/>
                <w:sz w:val="20"/>
              </w:rPr>
            </w:pPr>
            <w:r w:rsidRPr="00D3430D">
              <w:rPr>
                <w:rFonts w:ascii="Arial Narrow" w:hAnsi="Arial Narrow"/>
                <w:sz w:val="20"/>
              </w:rPr>
              <w:t>Submission base case</w:t>
            </w:r>
          </w:p>
        </w:tc>
        <w:tc>
          <w:tcPr>
            <w:tcW w:w="3037" w:type="pct"/>
          </w:tcPr>
          <w:p w14:paraId="62D45DD6" w14:textId="20D4F7CE" w:rsidR="006B0FEE" w:rsidRPr="00AB12B2" w:rsidRDefault="006B0FEE" w:rsidP="001C1D73">
            <w:pPr>
              <w:keepNext/>
              <w:keepLines/>
              <w:spacing w:before="40" w:after="40" w:line="256" w:lineRule="auto"/>
              <w:jc w:val="left"/>
              <w:cnfStyle w:val="000000000000" w:firstRow="0" w:lastRow="0" w:firstColumn="0" w:lastColumn="0" w:oddVBand="0" w:evenVBand="0" w:oddHBand="0" w:evenHBand="0" w:firstRowFirstColumn="0" w:firstRowLastColumn="0" w:lastRowFirstColumn="0" w:lastRowLastColumn="0"/>
              <w:rPr>
                <w:sz w:val="20"/>
                <w:vertAlign w:val="superscript"/>
              </w:rPr>
            </w:pPr>
            <w:r w:rsidRPr="00D3430D">
              <w:rPr>
                <w:sz w:val="20"/>
              </w:rPr>
              <w:t>Sponsor estimated ICER</w:t>
            </w:r>
            <w:r w:rsidRPr="000D17E8">
              <w:rPr>
                <w:sz w:val="20"/>
              </w:rPr>
              <w:t>: $</w:t>
            </w:r>
            <w:r w:rsidR="00AB12B2" w:rsidRPr="000D17E8">
              <w:rPr>
                <w:sz w:val="20"/>
              </w:rPr>
              <w:t>redacted</w:t>
            </w:r>
            <w:r w:rsidRPr="000D17E8">
              <w:rPr>
                <w:sz w:val="20"/>
              </w:rPr>
              <w:t>/</w:t>
            </w:r>
            <w:r w:rsidR="00FB0357" w:rsidRPr="000D17E8">
              <w:rPr>
                <w:sz w:val="20"/>
              </w:rPr>
              <w:t xml:space="preserve">QALY </w:t>
            </w:r>
            <w:r w:rsidR="00FB0357" w:rsidRPr="000D17E8">
              <w:rPr>
                <w:sz w:val="20"/>
                <w:vertAlign w:val="superscript"/>
              </w:rPr>
              <w:t>1</w:t>
            </w:r>
            <w:r w:rsidRPr="000D17E8">
              <w:rPr>
                <w:sz w:val="20"/>
              </w:rPr>
              <w:t xml:space="preserve"> (or $</w:t>
            </w:r>
            <w:r w:rsidR="00AB12B2" w:rsidRPr="000D17E8">
              <w:rPr>
                <w:sz w:val="20"/>
              </w:rPr>
              <w:t>redacted</w:t>
            </w:r>
            <w:r w:rsidRPr="000D17E8">
              <w:rPr>
                <w:sz w:val="20"/>
              </w:rPr>
              <w:t>/LY)</w:t>
            </w:r>
            <w:r w:rsidR="00FB0357" w:rsidRPr="000D17E8">
              <w:rPr>
                <w:sz w:val="20"/>
                <w:vertAlign w:val="superscript"/>
              </w:rPr>
              <w:t xml:space="preserve"> 2</w:t>
            </w:r>
          </w:p>
        </w:tc>
      </w:tr>
      <w:tr w:rsidR="006B0FEE" w:rsidRPr="00D3430D" w14:paraId="06E824DB" w14:textId="77777777" w:rsidTr="001C1D73">
        <w:trPr>
          <w:trHeight w:val="409"/>
        </w:trPr>
        <w:tc>
          <w:tcPr>
            <w:cnfStyle w:val="001000000000" w:firstRow="0" w:lastRow="0" w:firstColumn="1" w:lastColumn="0" w:oddVBand="0" w:evenVBand="0" w:oddHBand="0" w:evenHBand="0" w:firstRowFirstColumn="0" w:firstRowLastColumn="0" w:lastRowFirstColumn="0" w:lastRowLastColumn="0"/>
            <w:tcW w:w="1963" w:type="pct"/>
          </w:tcPr>
          <w:p w14:paraId="6A4F2334" w14:textId="6B8CB06C" w:rsidR="006B0FEE" w:rsidRPr="00D3430D" w:rsidRDefault="006B0FEE" w:rsidP="001C1D73">
            <w:pPr>
              <w:keepNext/>
              <w:keepLines/>
              <w:spacing w:before="40" w:after="40" w:line="256" w:lineRule="auto"/>
              <w:rPr>
                <w:rFonts w:ascii="Arial Narrow" w:hAnsi="Arial Narrow"/>
                <w:sz w:val="20"/>
              </w:rPr>
            </w:pPr>
            <w:r w:rsidRPr="00D3430D">
              <w:rPr>
                <w:rFonts w:ascii="Arial Narrow" w:hAnsi="Arial Narrow"/>
                <w:sz w:val="20"/>
              </w:rPr>
              <w:t>No M</w:t>
            </w:r>
            <w:r w:rsidR="001C1D73">
              <w:rPr>
                <w:rFonts w:ascii="Arial Narrow" w:hAnsi="Arial Narrow"/>
                <w:sz w:val="20"/>
              </w:rPr>
              <w:t>B</w:t>
            </w:r>
            <w:r w:rsidRPr="00D3430D">
              <w:rPr>
                <w:rFonts w:ascii="Arial Narrow" w:hAnsi="Arial Narrow"/>
                <w:sz w:val="20"/>
              </w:rPr>
              <w:t>S funded test</w:t>
            </w:r>
          </w:p>
        </w:tc>
        <w:tc>
          <w:tcPr>
            <w:tcW w:w="3037" w:type="pct"/>
          </w:tcPr>
          <w:p w14:paraId="79066F48" w14:textId="0D171B89" w:rsidR="006B0FEE" w:rsidRPr="00D3430D" w:rsidRDefault="006B0FEE" w:rsidP="001C1D73">
            <w:pPr>
              <w:keepNext/>
              <w:keepLines/>
              <w:spacing w:before="40" w:after="40" w:line="256" w:lineRule="auto"/>
              <w:jc w:val="left"/>
              <w:cnfStyle w:val="000000000000" w:firstRow="0" w:lastRow="0" w:firstColumn="0" w:lastColumn="0" w:oddVBand="0" w:evenVBand="0" w:oddHBand="0" w:evenHBand="0" w:firstRowFirstColumn="0" w:firstRowLastColumn="0" w:lastRowFirstColumn="0" w:lastRowLastColumn="0"/>
              <w:rPr>
                <w:sz w:val="20"/>
              </w:rPr>
            </w:pPr>
            <w:r w:rsidRPr="00D3430D">
              <w:rPr>
                <w:sz w:val="20"/>
              </w:rPr>
              <w:t xml:space="preserve">Not modelled. The submission assumed every patient in the model was </w:t>
            </w:r>
            <w:r w:rsidRPr="00D3430D">
              <w:rPr>
                <w:i/>
                <w:sz w:val="20"/>
              </w:rPr>
              <w:t>BRCA1/2</w:t>
            </w:r>
            <w:r w:rsidRPr="00D3430D">
              <w:rPr>
                <w:sz w:val="20"/>
              </w:rPr>
              <w:t xml:space="preserve"> positive and no s</w:t>
            </w:r>
            <w:r w:rsidR="001C1D73">
              <w:rPr>
                <w:sz w:val="20"/>
              </w:rPr>
              <w:t>cenario analyses were possible.</w:t>
            </w:r>
          </w:p>
        </w:tc>
      </w:tr>
      <w:tr w:rsidR="006B0FEE" w:rsidRPr="00D3430D" w14:paraId="0A8F6C91" w14:textId="77777777" w:rsidTr="001C1D73">
        <w:trPr>
          <w:trHeight w:val="474"/>
        </w:trPr>
        <w:tc>
          <w:tcPr>
            <w:cnfStyle w:val="001000000000" w:firstRow="0" w:lastRow="0" w:firstColumn="1" w:lastColumn="0" w:oddVBand="0" w:evenVBand="0" w:oddHBand="0" w:evenHBand="0" w:firstRowFirstColumn="0" w:firstRowLastColumn="0" w:lastRowFirstColumn="0" w:lastRowLastColumn="0"/>
            <w:tcW w:w="1963" w:type="pct"/>
          </w:tcPr>
          <w:p w14:paraId="12DA973D" w14:textId="49F99131" w:rsidR="006B0FEE" w:rsidRPr="00D3430D" w:rsidRDefault="006B0FEE" w:rsidP="001C1D73">
            <w:pPr>
              <w:keepNext/>
              <w:keepLines/>
              <w:spacing w:before="40" w:after="40" w:line="256" w:lineRule="auto"/>
              <w:rPr>
                <w:rFonts w:ascii="Arial Narrow" w:hAnsi="Arial Narrow"/>
                <w:sz w:val="20"/>
              </w:rPr>
            </w:pPr>
            <w:r w:rsidRPr="00D3430D">
              <w:rPr>
                <w:rFonts w:ascii="Arial Narrow" w:hAnsi="Arial Narrow"/>
                <w:sz w:val="20"/>
              </w:rPr>
              <w:t>M</w:t>
            </w:r>
            <w:r w:rsidR="001C1D73">
              <w:rPr>
                <w:rFonts w:ascii="Arial Narrow" w:hAnsi="Arial Narrow"/>
                <w:sz w:val="20"/>
              </w:rPr>
              <w:t>B</w:t>
            </w:r>
            <w:r w:rsidRPr="00D3430D">
              <w:rPr>
                <w:rFonts w:ascii="Arial Narrow" w:hAnsi="Arial Narrow"/>
                <w:sz w:val="20"/>
              </w:rPr>
              <w:t>S funded test: restricted to germline testing</w:t>
            </w:r>
          </w:p>
        </w:tc>
        <w:tc>
          <w:tcPr>
            <w:tcW w:w="3037" w:type="pct"/>
          </w:tcPr>
          <w:p w14:paraId="66E8C30B" w14:textId="0387687E" w:rsidR="006B0FEE" w:rsidRPr="00D3430D" w:rsidRDefault="006B0FEE" w:rsidP="001C1D73">
            <w:pPr>
              <w:keepNext/>
              <w:keepLines/>
              <w:spacing w:before="40" w:after="40" w:line="256" w:lineRule="auto"/>
              <w:jc w:val="left"/>
              <w:cnfStyle w:val="000000000000" w:firstRow="0" w:lastRow="0" w:firstColumn="0" w:lastColumn="0" w:oddVBand="0" w:evenVBand="0" w:oddHBand="0" w:evenHBand="0" w:firstRowFirstColumn="0" w:firstRowLastColumn="0" w:lastRowFirstColumn="0" w:lastRowLastColumn="0"/>
              <w:rPr>
                <w:sz w:val="20"/>
              </w:rPr>
            </w:pPr>
            <w:r w:rsidRPr="00D3430D">
              <w:rPr>
                <w:sz w:val="20"/>
              </w:rPr>
              <w:t>Not modelled. The submission did not differentiate tumour and germline testing in the mo</w:t>
            </w:r>
            <w:r w:rsidR="001C1D73">
              <w:rPr>
                <w:sz w:val="20"/>
              </w:rPr>
              <w:t>del.</w:t>
            </w:r>
          </w:p>
        </w:tc>
      </w:tr>
      <w:tr w:rsidR="006B0FEE" w:rsidRPr="00D3430D" w14:paraId="5DA5F895" w14:textId="77777777" w:rsidTr="001C1D73">
        <w:trPr>
          <w:trHeight w:val="410"/>
        </w:trPr>
        <w:tc>
          <w:tcPr>
            <w:cnfStyle w:val="001000000000" w:firstRow="0" w:lastRow="0" w:firstColumn="1" w:lastColumn="0" w:oddVBand="0" w:evenVBand="0" w:oddHBand="0" w:evenHBand="0" w:firstRowFirstColumn="0" w:firstRowLastColumn="0" w:lastRowFirstColumn="0" w:lastRowLastColumn="0"/>
            <w:tcW w:w="1963" w:type="pct"/>
          </w:tcPr>
          <w:p w14:paraId="3B44BBE9" w14:textId="1F4590F4" w:rsidR="006B0FEE" w:rsidRPr="00D3430D" w:rsidRDefault="001C1D73" w:rsidP="00AB5518">
            <w:pPr>
              <w:keepNext/>
              <w:keepLines/>
              <w:spacing w:before="40" w:after="40" w:line="256" w:lineRule="auto"/>
              <w:rPr>
                <w:rFonts w:ascii="Arial Narrow" w:hAnsi="Arial Narrow"/>
                <w:sz w:val="20"/>
              </w:rPr>
            </w:pPr>
            <w:r>
              <w:rPr>
                <w:rFonts w:ascii="Arial Narrow" w:hAnsi="Arial Narrow"/>
                <w:sz w:val="20"/>
              </w:rPr>
              <w:t>MBS</w:t>
            </w:r>
            <w:r w:rsidR="006B0FEE" w:rsidRPr="00D3430D">
              <w:rPr>
                <w:rFonts w:ascii="Arial Narrow" w:hAnsi="Arial Narrow"/>
                <w:sz w:val="20"/>
              </w:rPr>
              <w:t xml:space="preserve"> funded test: restricted to tumour testing</w:t>
            </w:r>
          </w:p>
        </w:tc>
        <w:tc>
          <w:tcPr>
            <w:tcW w:w="3037" w:type="pct"/>
          </w:tcPr>
          <w:p w14:paraId="56E9AD30" w14:textId="77777777" w:rsidR="006B0FEE" w:rsidRPr="00D3430D" w:rsidRDefault="006B0FEE" w:rsidP="001C1D73">
            <w:pPr>
              <w:keepNext/>
              <w:keepLines/>
              <w:spacing w:before="40" w:after="40" w:line="256" w:lineRule="auto"/>
              <w:jc w:val="left"/>
              <w:cnfStyle w:val="000000000000" w:firstRow="0" w:lastRow="0" w:firstColumn="0" w:lastColumn="0" w:oddVBand="0" w:evenVBand="0" w:oddHBand="0" w:evenHBand="0" w:firstRowFirstColumn="0" w:firstRowLastColumn="0" w:lastRowFirstColumn="0" w:lastRowLastColumn="0"/>
              <w:rPr>
                <w:sz w:val="20"/>
              </w:rPr>
            </w:pPr>
            <w:r w:rsidRPr="00D3430D">
              <w:rPr>
                <w:sz w:val="20"/>
              </w:rPr>
              <w:t>Not modelled. The submission did not differentiate tumour and germline testing in the model.</w:t>
            </w:r>
          </w:p>
        </w:tc>
      </w:tr>
    </w:tbl>
    <w:p w14:paraId="37B77546" w14:textId="64F764DA" w:rsidR="00FB0357" w:rsidRPr="00FB0357" w:rsidRDefault="006B0FEE" w:rsidP="006B0FEE">
      <w:pPr>
        <w:pStyle w:val="Default"/>
        <w:spacing w:after="240"/>
        <w:rPr>
          <w:rFonts w:ascii="Arial Narrow" w:hAnsi="Arial Narrow" w:cs="Arial"/>
          <w:snapToGrid w:val="0"/>
          <w:sz w:val="18"/>
          <w:szCs w:val="20"/>
        </w:rPr>
      </w:pPr>
      <w:r w:rsidRPr="00D3430D">
        <w:rPr>
          <w:rFonts w:ascii="Arial Narrow" w:hAnsi="Arial Narrow" w:cs="Arial"/>
          <w:snapToGrid w:val="0"/>
          <w:sz w:val="18"/>
          <w:szCs w:val="20"/>
        </w:rPr>
        <w:t>Source: Table 3.29, p196-197 of the submission.</w:t>
      </w:r>
      <w:r w:rsidR="00FB0357">
        <w:rPr>
          <w:rFonts w:ascii="Arial Narrow" w:hAnsi="Arial Narrow" w:cs="Arial"/>
          <w:snapToGrid w:val="0"/>
          <w:sz w:val="18"/>
          <w:szCs w:val="20"/>
        </w:rPr>
        <w:br/>
      </w:r>
      <w:r w:rsidR="00FB0357" w:rsidRPr="00AB12B2">
        <w:rPr>
          <w:rFonts w:ascii="Arial Narrow" w:hAnsi="Arial Narrow" w:cs="Arial"/>
          <w:i/>
          <w:snapToGrid w:val="0"/>
          <w:sz w:val="18"/>
          <w:szCs w:val="20"/>
        </w:rPr>
        <w:t>The redacted values correspond to the following ranges:</w:t>
      </w:r>
      <w:r w:rsidR="00FB0357" w:rsidRPr="00AB12B2">
        <w:rPr>
          <w:rFonts w:ascii="Arial Narrow" w:hAnsi="Arial Narrow" w:cs="Arial"/>
          <w:i/>
          <w:snapToGrid w:val="0"/>
          <w:sz w:val="18"/>
          <w:szCs w:val="20"/>
        </w:rPr>
        <w:br/>
      </w:r>
      <w:r w:rsidR="00FB0357" w:rsidRPr="00AB12B2">
        <w:rPr>
          <w:rFonts w:ascii="Arial Narrow" w:hAnsi="Arial Narrow" w:cs="Arial"/>
          <w:i/>
          <w:snapToGrid w:val="0"/>
          <w:sz w:val="18"/>
          <w:szCs w:val="20"/>
          <w:vertAlign w:val="superscript"/>
        </w:rPr>
        <w:t>1</w:t>
      </w:r>
      <w:r w:rsidR="00FB0357" w:rsidRPr="00AB12B2">
        <w:rPr>
          <w:rFonts w:ascii="Arial Narrow" w:hAnsi="Arial Narrow" w:cs="Arial"/>
          <w:i/>
          <w:snapToGrid w:val="0"/>
          <w:sz w:val="18"/>
          <w:szCs w:val="20"/>
        </w:rPr>
        <w:t xml:space="preserve"> $45,000 to &lt; $55,000</w:t>
      </w:r>
      <w:r w:rsidR="00FB0357" w:rsidRPr="00AB12B2">
        <w:rPr>
          <w:rFonts w:ascii="Arial Narrow" w:hAnsi="Arial Narrow" w:cs="Arial"/>
          <w:i/>
          <w:snapToGrid w:val="0"/>
          <w:sz w:val="18"/>
          <w:szCs w:val="20"/>
        </w:rPr>
        <w:br/>
      </w:r>
      <w:r w:rsidR="00FB0357" w:rsidRPr="00AB12B2">
        <w:rPr>
          <w:rFonts w:ascii="Arial Narrow" w:hAnsi="Arial Narrow" w:cs="Arial"/>
          <w:i/>
          <w:snapToGrid w:val="0"/>
          <w:sz w:val="18"/>
          <w:szCs w:val="20"/>
          <w:vertAlign w:val="superscript"/>
        </w:rPr>
        <w:t>2</w:t>
      </w:r>
      <w:r w:rsidR="00FB0357" w:rsidRPr="00AB12B2">
        <w:rPr>
          <w:rFonts w:ascii="Arial Narrow" w:hAnsi="Arial Narrow" w:cs="Arial"/>
          <w:i/>
          <w:snapToGrid w:val="0"/>
          <w:sz w:val="18"/>
          <w:szCs w:val="20"/>
        </w:rPr>
        <w:t xml:space="preserve"> $35,000 to &lt; $45,000</w:t>
      </w:r>
    </w:p>
    <w:p w14:paraId="47204BFD" w14:textId="77777777" w:rsidR="00BC1364" w:rsidRPr="00F715D1" w:rsidRDefault="00BC1364" w:rsidP="00F715D1">
      <w:pPr>
        <w:pStyle w:val="Heading1"/>
      </w:pPr>
      <w:r w:rsidRPr="00F715D1">
        <w:t>Financial/budgetary impacts</w:t>
      </w:r>
    </w:p>
    <w:p w14:paraId="3D100FF0" w14:textId="541B5931" w:rsidR="006B0FEE" w:rsidRPr="00D3430D" w:rsidRDefault="006B0FEE" w:rsidP="006B0FEE">
      <w:pPr>
        <w:rPr>
          <w:rFonts w:eastAsia="Calibri"/>
          <w:szCs w:val="22"/>
          <w:lang w:eastAsia="en-US"/>
        </w:rPr>
      </w:pPr>
      <w:r w:rsidRPr="00D3430D">
        <w:rPr>
          <w:rFonts w:eastAsia="Calibri"/>
          <w:szCs w:val="22"/>
          <w:lang w:eastAsia="en-US"/>
        </w:rPr>
        <w:t>While the submission stated that patient population estimates in the ratified PICO for Application 1618 were based on an incident prostate cancer population, the submission based its estimates of use on a prevalent population.</w:t>
      </w:r>
    </w:p>
    <w:p w14:paraId="125A6D0A" w14:textId="3670C60C" w:rsidR="006B0FEE" w:rsidRPr="00D3430D" w:rsidRDefault="006B0FEE" w:rsidP="007C2DC0">
      <w:pPr>
        <w:spacing w:before="240"/>
        <w:rPr>
          <w:rFonts w:eastAsia="Calibri"/>
          <w:szCs w:val="22"/>
          <w:lang w:eastAsia="en-US"/>
        </w:rPr>
      </w:pPr>
      <w:r w:rsidRPr="00D3430D">
        <w:rPr>
          <w:rFonts w:eastAsia="Calibri"/>
          <w:szCs w:val="22"/>
          <w:lang w:eastAsia="en-US"/>
        </w:rPr>
        <w:t xml:space="preserve">The submission stated that the literature supports the assertion that the prevalent population is the main source of patients for the requested listing because patients with prostate cancer typically progress to </w:t>
      </w:r>
      <w:proofErr w:type="spellStart"/>
      <w:r w:rsidRPr="00D3430D">
        <w:rPr>
          <w:rFonts w:eastAsia="Calibri"/>
          <w:szCs w:val="22"/>
          <w:lang w:eastAsia="en-US"/>
        </w:rPr>
        <w:t>mCRPC</w:t>
      </w:r>
      <w:proofErr w:type="spellEnd"/>
      <w:r w:rsidRPr="00D3430D">
        <w:rPr>
          <w:rFonts w:eastAsia="Calibri"/>
          <w:szCs w:val="22"/>
          <w:lang w:eastAsia="en-US"/>
        </w:rPr>
        <w:t xml:space="preserve"> over a number of years. </w:t>
      </w:r>
      <w:r w:rsidRPr="00D3430D">
        <w:rPr>
          <w:rFonts w:eastAsia="Calibri"/>
          <w:iCs/>
          <w:szCs w:val="22"/>
          <w:lang w:eastAsia="en-US"/>
        </w:rPr>
        <w:t>The Commentary considered the use of a combined incident/prevalent approach to determine patient numbers may have provided more accurate estimates</w:t>
      </w:r>
      <w:r w:rsidRPr="00D3430D">
        <w:rPr>
          <w:rFonts w:eastAsia="Calibri"/>
          <w:szCs w:val="22"/>
          <w:lang w:eastAsia="en-US"/>
        </w:rPr>
        <w:t>.</w:t>
      </w:r>
      <w:r w:rsidR="00AB5518">
        <w:rPr>
          <w:rFonts w:eastAsia="Calibri"/>
          <w:szCs w:val="22"/>
          <w:lang w:eastAsia="en-US"/>
        </w:rPr>
        <w:t xml:space="preserve"> The pre-MSAC response presented revised financial estimates with </w:t>
      </w:r>
      <w:r w:rsidR="00AB5518" w:rsidRPr="00AB5518">
        <w:rPr>
          <w:rFonts w:eastAsia="Calibri"/>
          <w:szCs w:val="22"/>
          <w:lang w:eastAsia="en-US"/>
        </w:rPr>
        <w:t xml:space="preserve">increased </w:t>
      </w:r>
      <w:r w:rsidR="00AB5518">
        <w:rPr>
          <w:rFonts w:eastAsia="Calibri"/>
          <w:szCs w:val="22"/>
          <w:lang w:eastAsia="en-US"/>
        </w:rPr>
        <w:t xml:space="preserve">olaparib </w:t>
      </w:r>
      <w:r w:rsidR="00AB5518" w:rsidRPr="00AB5518">
        <w:rPr>
          <w:rFonts w:eastAsia="Calibri"/>
          <w:szCs w:val="22"/>
          <w:lang w:eastAsia="en-US"/>
        </w:rPr>
        <w:t>treatment duration and reduced compliance</w:t>
      </w:r>
      <w:r w:rsidR="00AB5518">
        <w:rPr>
          <w:rFonts w:eastAsia="Calibri"/>
          <w:szCs w:val="22"/>
          <w:lang w:eastAsia="en-US"/>
        </w:rPr>
        <w:t>.</w:t>
      </w:r>
      <w:r w:rsidR="00876076">
        <w:rPr>
          <w:rFonts w:eastAsia="Calibri"/>
          <w:szCs w:val="22"/>
          <w:lang w:eastAsia="en-US"/>
        </w:rPr>
        <w:t xml:space="preserve"> No reasons were given for the revised estimates of net costs to the MBS.</w:t>
      </w:r>
    </w:p>
    <w:p w14:paraId="3215DE64" w14:textId="38399B52" w:rsidR="006B0FEE" w:rsidRPr="00D3430D" w:rsidRDefault="006B0FEE" w:rsidP="006B0FEE">
      <w:pPr>
        <w:keepNext/>
        <w:keepLines/>
        <w:spacing w:after="40"/>
        <w:outlineLvl w:val="4"/>
        <w:rPr>
          <w:rFonts w:ascii="Arial Narrow" w:hAnsi="Arial Narrow" w:cs="Arial"/>
          <w:b/>
          <w:bCs/>
          <w:iCs/>
          <w:sz w:val="20"/>
          <w:lang w:eastAsia="en-US"/>
        </w:rPr>
      </w:pPr>
      <w:bookmarkStart w:id="9" w:name="_Ref62208305"/>
      <w:r w:rsidRPr="00D3430D">
        <w:rPr>
          <w:rFonts w:ascii="Arial Narrow" w:hAnsi="Arial Narrow" w:cs="Arial"/>
          <w:b/>
          <w:bCs/>
          <w:iCs/>
          <w:sz w:val="20"/>
          <w:lang w:eastAsia="en-US"/>
        </w:rPr>
        <w:lastRenderedPageBreak/>
        <w:t xml:space="preserve">Table </w:t>
      </w:r>
      <w:r w:rsidR="005B737C">
        <w:rPr>
          <w:rFonts w:ascii="Arial Narrow" w:hAnsi="Arial Narrow" w:cs="Arial"/>
          <w:b/>
          <w:bCs/>
          <w:iCs/>
          <w:sz w:val="20"/>
          <w:lang w:eastAsia="en-US"/>
        </w:rPr>
        <w:t>8</w:t>
      </w:r>
      <w:bookmarkEnd w:id="9"/>
      <w:r w:rsidRPr="00D3430D">
        <w:rPr>
          <w:rFonts w:ascii="Arial Narrow" w:hAnsi="Arial Narrow" w:cs="Arial"/>
          <w:b/>
          <w:bCs/>
          <w:iCs/>
          <w:sz w:val="20"/>
          <w:lang w:eastAsia="en-US"/>
        </w:rPr>
        <w:tab/>
        <w:t>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Description w:val="Estimated use and financial implications"/>
      </w:tblPr>
      <w:tblGrid>
        <w:gridCol w:w="2265"/>
        <w:gridCol w:w="1134"/>
        <w:gridCol w:w="1134"/>
        <w:gridCol w:w="1134"/>
        <w:gridCol w:w="1132"/>
        <w:gridCol w:w="1131"/>
        <w:gridCol w:w="1086"/>
      </w:tblGrid>
      <w:tr w:rsidR="006B0FEE" w:rsidRPr="00D3430D" w14:paraId="643EC8B4" w14:textId="77777777" w:rsidTr="00EF56E2">
        <w:trPr>
          <w:tblHeader/>
        </w:trPr>
        <w:tc>
          <w:tcPr>
            <w:tcW w:w="1256" w:type="pct"/>
            <w:shd w:val="clear" w:color="auto" w:fill="auto"/>
            <w:vAlign w:val="center"/>
          </w:tcPr>
          <w:p w14:paraId="0C01804B" w14:textId="77777777" w:rsidR="006B0FEE" w:rsidRPr="00D3430D" w:rsidRDefault="006B0FEE" w:rsidP="00AB5518">
            <w:pPr>
              <w:keepNext/>
              <w:keepLines/>
              <w:widowControl w:val="0"/>
              <w:spacing w:before="40" w:after="40" w:line="256" w:lineRule="auto"/>
              <w:rPr>
                <w:rFonts w:ascii="Arial Narrow" w:hAnsi="Arial Narrow"/>
                <w:b/>
                <w:sz w:val="20"/>
              </w:rPr>
            </w:pPr>
          </w:p>
        </w:tc>
        <w:tc>
          <w:tcPr>
            <w:tcW w:w="629" w:type="pct"/>
            <w:shd w:val="clear" w:color="auto" w:fill="auto"/>
            <w:vAlign w:val="center"/>
          </w:tcPr>
          <w:p w14:paraId="30A3682E" w14:textId="77777777" w:rsidR="006B0FEE" w:rsidRPr="00D3430D" w:rsidRDefault="006B0FEE" w:rsidP="00AB5518">
            <w:pPr>
              <w:keepNext/>
              <w:keepLines/>
              <w:widowControl w:val="0"/>
              <w:spacing w:before="40" w:after="40" w:line="256" w:lineRule="auto"/>
              <w:jc w:val="center"/>
              <w:rPr>
                <w:rFonts w:ascii="Arial Narrow" w:hAnsi="Arial Narrow"/>
                <w:b/>
                <w:sz w:val="20"/>
              </w:rPr>
            </w:pPr>
            <w:r w:rsidRPr="00D3430D">
              <w:rPr>
                <w:rFonts w:ascii="Arial Narrow" w:hAnsi="Arial Narrow"/>
                <w:b/>
                <w:sz w:val="20"/>
              </w:rPr>
              <w:t>Year 1</w:t>
            </w:r>
          </w:p>
        </w:tc>
        <w:tc>
          <w:tcPr>
            <w:tcW w:w="629" w:type="pct"/>
            <w:shd w:val="clear" w:color="auto" w:fill="auto"/>
            <w:vAlign w:val="center"/>
          </w:tcPr>
          <w:p w14:paraId="07E089A0" w14:textId="77777777" w:rsidR="006B0FEE" w:rsidRPr="00D3430D" w:rsidRDefault="006B0FEE" w:rsidP="00AB5518">
            <w:pPr>
              <w:keepNext/>
              <w:keepLines/>
              <w:widowControl w:val="0"/>
              <w:spacing w:before="40" w:after="40" w:line="256" w:lineRule="auto"/>
              <w:jc w:val="center"/>
              <w:rPr>
                <w:rFonts w:ascii="Arial Narrow" w:hAnsi="Arial Narrow"/>
                <w:b/>
                <w:sz w:val="20"/>
              </w:rPr>
            </w:pPr>
            <w:r w:rsidRPr="00D3430D">
              <w:rPr>
                <w:rFonts w:ascii="Arial Narrow" w:hAnsi="Arial Narrow"/>
                <w:b/>
                <w:sz w:val="20"/>
              </w:rPr>
              <w:t>Year 2</w:t>
            </w:r>
          </w:p>
        </w:tc>
        <w:tc>
          <w:tcPr>
            <w:tcW w:w="629" w:type="pct"/>
            <w:shd w:val="clear" w:color="auto" w:fill="auto"/>
            <w:vAlign w:val="center"/>
          </w:tcPr>
          <w:p w14:paraId="4C0C7B97" w14:textId="77777777" w:rsidR="006B0FEE" w:rsidRPr="00D3430D" w:rsidRDefault="006B0FEE" w:rsidP="00AB5518">
            <w:pPr>
              <w:keepNext/>
              <w:keepLines/>
              <w:widowControl w:val="0"/>
              <w:spacing w:before="40" w:after="40" w:line="256" w:lineRule="auto"/>
              <w:jc w:val="center"/>
              <w:rPr>
                <w:rFonts w:ascii="Arial Narrow" w:hAnsi="Arial Narrow"/>
                <w:b/>
                <w:sz w:val="20"/>
              </w:rPr>
            </w:pPr>
            <w:r w:rsidRPr="00D3430D">
              <w:rPr>
                <w:rFonts w:ascii="Arial Narrow" w:hAnsi="Arial Narrow"/>
                <w:b/>
                <w:sz w:val="20"/>
              </w:rPr>
              <w:t>Year 3</w:t>
            </w:r>
          </w:p>
        </w:tc>
        <w:tc>
          <w:tcPr>
            <w:tcW w:w="628" w:type="pct"/>
            <w:shd w:val="clear" w:color="auto" w:fill="auto"/>
            <w:vAlign w:val="center"/>
          </w:tcPr>
          <w:p w14:paraId="15EE401A" w14:textId="77777777" w:rsidR="006B0FEE" w:rsidRPr="00D3430D" w:rsidRDefault="006B0FEE" w:rsidP="00AB5518">
            <w:pPr>
              <w:keepNext/>
              <w:keepLines/>
              <w:widowControl w:val="0"/>
              <w:spacing w:before="40" w:after="40" w:line="256" w:lineRule="auto"/>
              <w:jc w:val="center"/>
              <w:rPr>
                <w:rFonts w:ascii="Arial Narrow" w:hAnsi="Arial Narrow"/>
                <w:b/>
                <w:sz w:val="20"/>
              </w:rPr>
            </w:pPr>
            <w:r w:rsidRPr="00D3430D">
              <w:rPr>
                <w:rFonts w:ascii="Arial Narrow" w:hAnsi="Arial Narrow"/>
                <w:b/>
                <w:sz w:val="20"/>
              </w:rPr>
              <w:t>Year 4</w:t>
            </w:r>
          </w:p>
        </w:tc>
        <w:tc>
          <w:tcPr>
            <w:tcW w:w="627" w:type="pct"/>
            <w:shd w:val="clear" w:color="auto" w:fill="auto"/>
            <w:vAlign w:val="center"/>
          </w:tcPr>
          <w:p w14:paraId="701DDCAA" w14:textId="77777777" w:rsidR="006B0FEE" w:rsidRPr="00D3430D" w:rsidRDefault="006B0FEE" w:rsidP="00AB5518">
            <w:pPr>
              <w:keepNext/>
              <w:keepLines/>
              <w:widowControl w:val="0"/>
              <w:spacing w:before="40" w:after="40" w:line="256" w:lineRule="auto"/>
              <w:jc w:val="center"/>
              <w:rPr>
                <w:rFonts w:ascii="Arial Narrow" w:hAnsi="Arial Narrow"/>
                <w:b/>
                <w:sz w:val="20"/>
              </w:rPr>
            </w:pPr>
            <w:r w:rsidRPr="00D3430D">
              <w:rPr>
                <w:rFonts w:ascii="Arial Narrow" w:hAnsi="Arial Narrow"/>
                <w:b/>
                <w:sz w:val="20"/>
              </w:rPr>
              <w:t>Year 5</w:t>
            </w:r>
          </w:p>
        </w:tc>
        <w:tc>
          <w:tcPr>
            <w:tcW w:w="602" w:type="pct"/>
          </w:tcPr>
          <w:p w14:paraId="44A760F1" w14:textId="77777777" w:rsidR="006B0FEE" w:rsidRPr="00D3430D" w:rsidRDefault="006B0FEE" w:rsidP="00AB5518">
            <w:pPr>
              <w:keepNext/>
              <w:keepLines/>
              <w:widowControl w:val="0"/>
              <w:spacing w:before="40" w:after="40" w:line="256" w:lineRule="auto"/>
              <w:jc w:val="center"/>
              <w:rPr>
                <w:rFonts w:ascii="Arial Narrow" w:hAnsi="Arial Narrow"/>
                <w:b/>
                <w:sz w:val="20"/>
              </w:rPr>
            </w:pPr>
            <w:r w:rsidRPr="00D3430D">
              <w:rPr>
                <w:rFonts w:ascii="Arial Narrow" w:hAnsi="Arial Narrow"/>
                <w:b/>
                <w:sz w:val="20"/>
              </w:rPr>
              <w:t>Year 6</w:t>
            </w:r>
          </w:p>
        </w:tc>
      </w:tr>
      <w:tr w:rsidR="006B0FEE" w:rsidRPr="00D3430D" w14:paraId="29E36BD2" w14:textId="77777777" w:rsidTr="00AB5518">
        <w:trPr>
          <w:trHeight w:val="119"/>
        </w:trPr>
        <w:tc>
          <w:tcPr>
            <w:tcW w:w="5000" w:type="pct"/>
            <w:gridSpan w:val="7"/>
            <w:shd w:val="clear" w:color="auto" w:fill="auto"/>
            <w:vAlign w:val="center"/>
          </w:tcPr>
          <w:p w14:paraId="57A68259" w14:textId="6C3B2BF6" w:rsidR="006B0FEE" w:rsidRPr="00D3430D" w:rsidRDefault="006B0FEE" w:rsidP="00E370C0">
            <w:pPr>
              <w:keepNext/>
              <w:keepLines/>
              <w:widowControl w:val="0"/>
              <w:spacing w:before="40" w:after="40" w:line="256" w:lineRule="auto"/>
              <w:rPr>
                <w:rFonts w:ascii="Arial Narrow" w:hAnsi="Arial Narrow"/>
                <w:b/>
                <w:sz w:val="20"/>
              </w:rPr>
            </w:pPr>
            <w:r w:rsidRPr="00D3430D">
              <w:rPr>
                <w:rFonts w:ascii="Arial Narrow" w:hAnsi="Arial Narrow"/>
                <w:b/>
                <w:sz w:val="20"/>
              </w:rPr>
              <w:t xml:space="preserve">Estimated extent of use of </w:t>
            </w:r>
            <w:r w:rsidRPr="00D3430D">
              <w:rPr>
                <w:rFonts w:ascii="Arial Narrow" w:hAnsi="Arial Narrow"/>
                <w:b/>
                <w:i/>
                <w:iCs/>
                <w:sz w:val="20"/>
              </w:rPr>
              <w:t>BRCA1/2</w:t>
            </w:r>
            <w:r w:rsidRPr="00D3430D">
              <w:rPr>
                <w:rFonts w:ascii="Arial Narrow" w:hAnsi="Arial Narrow"/>
                <w:b/>
                <w:sz w:val="20"/>
              </w:rPr>
              <w:t xml:space="preserve"> testing</w:t>
            </w:r>
          </w:p>
        </w:tc>
      </w:tr>
      <w:tr w:rsidR="006B0FEE" w:rsidRPr="00D3430D" w14:paraId="7CED69A5" w14:textId="77777777" w:rsidTr="00EF56E2">
        <w:tc>
          <w:tcPr>
            <w:tcW w:w="1256" w:type="pct"/>
            <w:shd w:val="clear" w:color="auto" w:fill="auto"/>
            <w:vAlign w:val="center"/>
          </w:tcPr>
          <w:p w14:paraId="14AC28D0" w14:textId="77777777" w:rsidR="006B0FEE" w:rsidRPr="00D3430D" w:rsidRDefault="006B0FEE" w:rsidP="00AB5518">
            <w:pPr>
              <w:keepNext/>
              <w:keepLines/>
              <w:widowControl w:val="0"/>
              <w:spacing w:before="40" w:after="40" w:line="256" w:lineRule="auto"/>
              <w:rPr>
                <w:rFonts w:ascii="Arial Narrow" w:hAnsi="Arial Narrow"/>
                <w:sz w:val="20"/>
              </w:rPr>
            </w:pPr>
            <w:r w:rsidRPr="00D3430D">
              <w:rPr>
                <w:rFonts w:ascii="Arial Narrow" w:hAnsi="Arial Narrow"/>
                <w:sz w:val="20"/>
              </w:rPr>
              <w:t>Number of patients tested</w:t>
            </w:r>
          </w:p>
        </w:tc>
        <w:tc>
          <w:tcPr>
            <w:tcW w:w="629" w:type="pct"/>
            <w:shd w:val="clear" w:color="auto" w:fill="auto"/>
            <w:vAlign w:val="center"/>
          </w:tcPr>
          <w:p w14:paraId="2BA67F04" w14:textId="0F6729FA" w:rsidR="006B0FEE" w:rsidRPr="00AB12B2" w:rsidRDefault="00AB12B2" w:rsidP="00AB5518">
            <w:pPr>
              <w:keepNext/>
              <w:keepLines/>
              <w:widowControl w:val="0"/>
              <w:tabs>
                <w:tab w:val="decimal" w:pos="396"/>
              </w:tabs>
              <w:spacing w:before="40" w:after="40" w:line="256" w:lineRule="auto"/>
              <w:jc w:val="center"/>
              <w:rPr>
                <w:rFonts w:ascii="Arial Narrow" w:hAnsi="Arial Narrow"/>
                <w:sz w:val="20"/>
                <w:vertAlign w:val="superscript"/>
              </w:rPr>
            </w:pPr>
            <w:r w:rsidRPr="008830F2">
              <w:rPr>
                <w:rFonts w:ascii="Arial Narrow" w:hAnsi="Arial Narrow" w:cs="Arial"/>
                <w:color w:val="000000"/>
                <w:sz w:val="20"/>
              </w:rPr>
              <w:t>redacted</w:t>
            </w:r>
            <w:r w:rsidR="009F1CE9">
              <w:rPr>
                <w:rFonts w:ascii="Arial Narrow" w:hAnsi="Arial Narrow" w:cs="Arial"/>
                <w:color w:val="000000"/>
                <w:sz w:val="20"/>
              </w:rPr>
              <w:t xml:space="preserve"> </w:t>
            </w:r>
            <w:r w:rsidR="009F1CE9">
              <w:rPr>
                <w:rFonts w:ascii="Arial Narrow" w:hAnsi="Arial Narrow" w:cs="Arial"/>
                <w:color w:val="000000"/>
                <w:sz w:val="20"/>
                <w:vertAlign w:val="superscript"/>
              </w:rPr>
              <w:t>1</w:t>
            </w:r>
          </w:p>
        </w:tc>
        <w:tc>
          <w:tcPr>
            <w:tcW w:w="629" w:type="pct"/>
            <w:shd w:val="clear" w:color="auto" w:fill="auto"/>
            <w:vAlign w:val="center"/>
          </w:tcPr>
          <w:p w14:paraId="2D6392EC" w14:textId="53D5C232" w:rsidR="006B0FEE" w:rsidRPr="00FB0357" w:rsidRDefault="008830F2" w:rsidP="00AB5518">
            <w:pPr>
              <w:keepNext/>
              <w:keepLines/>
              <w:widowControl w:val="0"/>
              <w:tabs>
                <w:tab w:val="decimal" w:pos="396"/>
              </w:tabs>
              <w:spacing w:before="40" w:after="40" w:line="256" w:lineRule="auto"/>
              <w:jc w:val="center"/>
              <w:rPr>
                <w:rFonts w:ascii="Arial Narrow" w:hAnsi="Arial Narrow"/>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1</w:t>
            </w:r>
          </w:p>
        </w:tc>
        <w:tc>
          <w:tcPr>
            <w:tcW w:w="629" w:type="pct"/>
            <w:shd w:val="clear" w:color="auto" w:fill="auto"/>
            <w:vAlign w:val="center"/>
          </w:tcPr>
          <w:p w14:paraId="600832BC" w14:textId="5AFFF177" w:rsidR="006B0FEE" w:rsidRPr="00FB0357" w:rsidRDefault="008830F2" w:rsidP="009F1CE9">
            <w:pPr>
              <w:keepNext/>
              <w:keepLines/>
              <w:widowControl w:val="0"/>
              <w:tabs>
                <w:tab w:val="decimal" w:pos="396"/>
              </w:tabs>
              <w:spacing w:before="40" w:after="40" w:line="256" w:lineRule="auto"/>
              <w:jc w:val="center"/>
              <w:rPr>
                <w:rFonts w:ascii="Arial Narrow" w:hAnsi="Arial Narrow"/>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2</w:t>
            </w:r>
          </w:p>
        </w:tc>
        <w:tc>
          <w:tcPr>
            <w:tcW w:w="628" w:type="pct"/>
            <w:shd w:val="clear" w:color="auto" w:fill="auto"/>
            <w:vAlign w:val="center"/>
          </w:tcPr>
          <w:p w14:paraId="358F4FAF" w14:textId="3960F81A" w:rsidR="006B0FEE" w:rsidRPr="00FB0357" w:rsidRDefault="008830F2" w:rsidP="00AB5518">
            <w:pPr>
              <w:keepNext/>
              <w:keepLines/>
              <w:widowControl w:val="0"/>
              <w:tabs>
                <w:tab w:val="decimal" w:pos="396"/>
              </w:tabs>
              <w:spacing w:before="40" w:after="40" w:line="256" w:lineRule="auto"/>
              <w:jc w:val="center"/>
              <w:rPr>
                <w:rFonts w:ascii="Arial Narrow" w:hAnsi="Arial Narrow"/>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2</w:t>
            </w:r>
          </w:p>
        </w:tc>
        <w:tc>
          <w:tcPr>
            <w:tcW w:w="627" w:type="pct"/>
            <w:shd w:val="clear" w:color="auto" w:fill="auto"/>
            <w:vAlign w:val="center"/>
          </w:tcPr>
          <w:p w14:paraId="55F0A9F1" w14:textId="161E5B96" w:rsidR="006B0FEE" w:rsidRPr="00FB0357" w:rsidRDefault="008830F2" w:rsidP="00AB5518">
            <w:pPr>
              <w:keepNext/>
              <w:keepLines/>
              <w:widowControl w:val="0"/>
              <w:tabs>
                <w:tab w:val="decimal" w:pos="396"/>
              </w:tabs>
              <w:spacing w:before="40" w:after="40" w:line="256" w:lineRule="auto"/>
              <w:jc w:val="center"/>
              <w:rPr>
                <w:rFonts w:ascii="Arial Narrow" w:hAnsi="Arial Narrow"/>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2</w:t>
            </w:r>
          </w:p>
        </w:tc>
        <w:tc>
          <w:tcPr>
            <w:tcW w:w="602" w:type="pct"/>
            <w:shd w:val="clear" w:color="auto" w:fill="auto"/>
            <w:vAlign w:val="center"/>
          </w:tcPr>
          <w:p w14:paraId="0CB45354" w14:textId="00352E57" w:rsidR="006B0FEE" w:rsidRPr="00FB0357" w:rsidRDefault="008830F2" w:rsidP="00AB5518">
            <w:pPr>
              <w:keepNext/>
              <w:keepLines/>
              <w:widowControl w:val="0"/>
              <w:tabs>
                <w:tab w:val="decimal" w:pos="396"/>
              </w:tabs>
              <w:spacing w:before="40" w:after="40" w:line="256" w:lineRule="auto"/>
              <w:jc w:val="center"/>
              <w:rPr>
                <w:rFonts w:ascii="Arial Narrow" w:hAnsi="Arial Narrow"/>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2</w:t>
            </w:r>
          </w:p>
        </w:tc>
      </w:tr>
      <w:tr w:rsidR="006B0FEE" w:rsidRPr="00D3430D" w14:paraId="0D760BDA" w14:textId="77777777" w:rsidTr="00EF56E2">
        <w:tc>
          <w:tcPr>
            <w:tcW w:w="1256" w:type="pct"/>
            <w:shd w:val="clear" w:color="auto" w:fill="auto"/>
            <w:vAlign w:val="center"/>
          </w:tcPr>
          <w:p w14:paraId="3AFADE9F" w14:textId="77777777" w:rsidR="006B0FEE" w:rsidRPr="00D3430D" w:rsidRDefault="006B0FEE" w:rsidP="00AB5518">
            <w:pPr>
              <w:keepNext/>
              <w:keepLines/>
              <w:widowControl w:val="0"/>
              <w:spacing w:before="40" w:after="40" w:line="256" w:lineRule="auto"/>
              <w:rPr>
                <w:rFonts w:ascii="Arial Narrow" w:hAnsi="Arial Narrow"/>
                <w:sz w:val="20"/>
              </w:rPr>
            </w:pPr>
            <w:r w:rsidRPr="00D3430D">
              <w:rPr>
                <w:rFonts w:ascii="Arial Narrow" w:hAnsi="Arial Narrow"/>
                <w:sz w:val="20"/>
              </w:rPr>
              <w:t>Number of tumour tests</w:t>
            </w:r>
          </w:p>
        </w:tc>
        <w:tc>
          <w:tcPr>
            <w:tcW w:w="629" w:type="pct"/>
            <w:shd w:val="clear" w:color="auto" w:fill="auto"/>
            <w:vAlign w:val="center"/>
          </w:tcPr>
          <w:p w14:paraId="453B4105" w14:textId="0246144B" w:rsidR="006B0FEE" w:rsidRPr="00FB0357" w:rsidRDefault="008830F2" w:rsidP="00AB5518">
            <w:pPr>
              <w:keepNext/>
              <w:keepLines/>
              <w:widowControl w:val="0"/>
              <w:tabs>
                <w:tab w:val="decimal" w:pos="396"/>
              </w:tabs>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1</w:t>
            </w:r>
          </w:p>
        </w:tc>
        <w:tc>
          <w:tcPr>
            <w:tcW w:w="629" w:type="pct"/>
            <w:shd w:val="clear" w:color="auto" w:fill="auto"/>
            <w:vAlign w:val="center"/>
          </w:tcPr>
          <w:p w14:paraId="0D3A2CB2" w14:textId="701BCFBE" w:rsidR="006B0FEE" w:rsidRPr="00FB0357" w:rsidRDefault="008830F2" w:rsidP="00AB5518">
            <w:pPr>
              <w:keepNext/>
              <w:keepLines/>
              <w:widowControl w:val="0"/>
              <w:tabs>
                <w:tab w:val="decimal" w:pos="396"/>
              </w:tabs>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1</w:t>
            </w:r>
          </w:p>
        </w:tc>
        <w:tc>
          <w:tcPr>
            <w:tcW w:w="629" w:type="pct"/>
            <w:shd w:val="clear" w:color="auto" w:fill="auto"/>
            <w:vAlign w:val="center"/>
          </w:tcPr>
          <w:p w14:paraId="0BD14DE8" w14:textId="1CD6C0A6" w:rsidR="006B0FEE" w:rsidRPr="00FB0357" w:rsidRDefault="008830F2" w:rsidP="00AB5518">
            <w:pPr>
              <w:keepNext/>
              <w:keepLines/>
              <w:widowControl w:val="0"/>
              <w:tabs>
                <w:tab w:val="decimal" w:pos="396"/>
              </w:tabs>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1</w:t>
            </w:r>
          </w:p>
        </w:tc>
        <w:tc>
          <w:tcPr>
            <w:tcW w:w="628" w:type="pct"/>
            <w:shd w:val="clear" w:color="auto" w:fill="auto"/>
            <w:vAlign w:val="center"/>
          </w:tcPr>
          <w:p w14:paraId="77A67B52" w14:textId="7E3ED776" w:rsidR="006B0FEE" w:rsidRPr="00FB0357" w:rsidRDefault="008830F2" w:rsidP="00AB5518">
            <w:pPr>
              <w:keepNext/>
              <w:keepLines/>
              <w:widowControl w:val="0"/>
              <w:tabs>
                <w:tab w:val="decimal" w:pos="396"/>
              </w:tabs>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2</w:t>
            </w:r>
          </w:p>
        </w:tc>
        <w:tc>
          <w:tcPr>
            <w:tcW w:w="627" w:type="pct"/>
            <w:shd w:val="clear" w:color="auto" w:fill="auto"/>
            <w:vAlign w:val="center"/>
          </w:tcPr>
          <w:p w14:paraId="48D5E1EA" w14:textId="6D6C86E0" w:rsidR="006B0FEE" w:rsidRPr="00FB0357" w:rsidRDefault="008830F2" w:rsidP="00AB5518">
            <w:pPr>
              <w:keepNext/>
              <w:keepLines/>
              <w:widowControl w:val="0"/>
              <w:tabs>
                <w:tab w:val="decimal" w:pos="396"/>
              </w:tabs>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2</w:t>
            </w:r>
          </w:p>
        </w:tc>
        <w:tc>
          <w:tcPr>
            <w:tcW w:w="602" w:type="pct"/>
            <w:shd w:val="clear" w:color="auto" w:fill="auto"/>
            <w:vAlign w:val="center"/>
          </w:tcPr>
          <w:p w14:paraId="5048A1DA" w14:textId="6358B4E5" w:rsidR="006B0FEE" w:rsidRPr="00FB0357" w:rsidRDefault="008830F2" w:rsidP="00AB5518">
            <w:pPr>
              <w:keepNext/>
              <w:keepLines/>
              <w:widowControl w:val="0"/>
              <w:tabs>
                <w:tab w:val="decimal" w:pos="396"/>
              </w:tabs>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2</w:t>
            </w:r>
          </w:p>
        </w:tc>
      </w:tr>
      <w:tr w:rsidR="006B0FEE" w:rsidRPr="00D3430D" w14:paraId="3AA43B9A" w14:textId="77777777" w:rsidTr="00EF56E2">
        <w:tc>
          <w:tcPr>
            <w:tcW w:w="1256" w:type="pct"/>
            <w:shd w:val="clear" w:color="auto" w:fill="auto"/>
            <w:vAlign w:val="center"/>
          </w:tcPr>
          <w:p w14:paraId="04B17401" w14:textId="77777777" w:rsidR="006B0FEE" w:rsidRPr="00D3430D" w:rsidRDefault="006B0FEE" w:rsidP="00AB5518">
            <w:pPr>
              <w:keepNext/>
              <w:keepLines/>
              <w:widowControl w:val="0"/>
              <w:spacing w:before="40" w:after="40" w:line="256" w:lineRule="auto"/>
              <w:rPr>
                <w:rFonts w:ascii="Arial Narrow" w:hAnsi="Arial Narrow"/>
                <w:sz w:val="20"/>
              </w:rPr>
            </w:pPr>
            <w:r w:rsidRPr="00D3430D">
              <w:rPr>
                <w:rFonts w:ascii="Arial Narrow" w:hAnsi="Arial Narrow"/>
                <w:sz w:val="20"/>
              </w:rPr>
              <w:t>Number of germline tests</w:t>
            </w:r>
          </w:p>
        </w:tc>
        <w:tc>
          <w:tcPr>
            <w:tcW w:w="629" w:type="pct"/>
            <w:shd w:val="clear" w:color="auto" w:fill="auto"/>
            <w:vAlign w:val="center"/>
          </w:tcPr>
          <w:p w14:paraId="26BBFA9E" w14:textId="0703E03F" w:rsidR="006B0FEE" w:rsidRPr="00FB0357" w:rsidRDefault="008830F2" w:rsidP="00AB5518">
            <w:pPr>
              <w:keepNext/>
              <w:keepLines/>
              <w:widowControl w:val="0"/>
              <w:tabs>
                <w:tab w:val="decimal" w:pos="396"/>
              </w:tabs>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1</w:t>
            </w:r>
          </w:p>
        </w:tc>
        <w:tc>
          <w:tcPr>
            <w:tcW w:w="629" w:type="pct"/>
            <w:shd w:val="clear" w:color="auto" w:fill="auto"/>
            <w:vAlign w:val="center"/>
          </w:tcPr>
          <w:p w14:paraId="148A5857" w14:textId="451A6DE3" w:rsidR="006B0FEE" w:rsidRPr="00FB0357" w:rsidRDefault="008830F2" w:rsidP="00AB5518">
            <w:pPr>
              <w:keepNext/>
              <w:keepLines/>
              <w:widowControl w:val="0"/>
              <w:tabs>
                <w:tab w:val="decimal" w:pos="396"/>
              </w:tabs>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1</w:t>
            </w:r>
          </w:p>
        </w:tc>
        <w:tc>
          <w:tcPr>
            <w:tcW w:w="629" w:type="pct"/>
            <w:shd w:val="clear" w:color="auto" w:fill="auto"/>
            <w:vAlign w:val="center"/>
          </w:tcPr>
          <w:p w14:paraId="1A6BCC63" w14:textId="72280386" w:rsidR="006B0FEE" w:rsidRPr="00FB0357" w:rsidRDefault="008830F2" w:rsidP="00AB5518">
            <w:pPr>
              <w:keepNext/>
              <w:keepLines/>
              <w:widowControl w:val="0"/>
              <w:tabs>
                <w:tab w:val="decimal" w:pos="396"/>
              </w:tabs>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1</w:t>
            </w:r>
          </w:p>
        </w:tc>
        <w:tc>
          <w:tcPr>
            <w:tcW w:w="628" w:type="pct"/>
            <w:shd w:val="clear" w:color="auto" w:fill="auto"/>
            <w:vAlign w:val="center"/>
          </w:tcPr>
          <w:p w14:paraId="348CB015" w14:textId="19BD10AD" w:rsidR="006B0FEE" w:rsidRPr="00FB0357" w:rsidRDefault="008830F2" w:rsidP="00AB5518">
            <w:pPr>
              <w:keepNext/>
              <w:keepLines/>
              <w:widowControl w:val="0"/>
              <w:tabs>
                <w:tab w:val="decimal" w:pos="396"/>
              </w:tabs>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1</w:t>
            </w:r>
          </w:p>
        </w:tc>
        <w:tc>
          <w:tcPr>
            <w:tcW w:w="627" w:type="pct"/>
            <w:shd w:val="clear" w:color="auto" w:fill="auto"/>
            <w:vAlign w:val="center"/>
          </w:tcPr>
          <w:p w14:paraId="144BDF5D" w14:textId="489CD55B" w:rsidR="006B0FEE" w:rsidRPr="00FB0357" w:rsidRDefault="008830F2" w:rsidP="00AB5518">
            <w:pPr>
              <w:keepNext/>
              <w:keepLines/>
              <w:widowControl w:val="0"/>
              <w:tabs>
                <w:tab w:val="decimal" w:pos="396"/>
              </w:tabs>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1</w:t>
            </w:r>
          </w:p>
        </w:tc>
        <w:tc>
          <w:tcPr>
            <w:tcW w:w="602" w:type="pct"/>
            <w:shd w:val="clear" w:color="auto" w:fill="auto"/>
            <w:vAlign w:val="center"/>
          </w:tcPr>
          <w:p w14:paraId="3DC49C12" w14:textId="45EAEE44" w:rsidR="006B0FEE" w:rsidRPr="00FB0357" w:rsidRDefault="008830F2" w:rsidP="00AB5518">
            <w:pPr>
              <w:keepNext/>
              <w:keepLines/>
              <w:widowControl w:val="0"/>
              <w:tabs>
                <w:tab w:val="decimal" w:pos="396"/>
              </w:tabs>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1</w:t>
            </w:r>
          </w:p>
        </w:tc>
      </w:tr>
      <w:tr w:rsidR="006B0FEE" w:rsidRPr="00D3430D" w14:paraId="4F37AABC" w14:textId="77777777" w:rsidTr="008830F2">
        <w:tc>
          <w:tcPr>
            <w:tcW w:w="1256" w:type="pct"/>
            <w:shd w:val="clear" w:color="auto" w:fill="auto"/>
            <w:vAlign w:val="center"/>
          </w:tcPr>
          <w:p w14:paraId="498F4D59" w14:textId="77777777" w:rsidR="006B0FEE" w:rsidRPr="00D3430D" w:rsidRDefault="006B0FEE" w:rsidP="00AB5518">
            <w:pPr>
              <w:keepNext/>
              <w:keepLines/>
              <w:widowControl w:val="0"/>
              <w:spacing w:before="40" w:after="40" w:line="256" w:lineRule="auto"/>
              <w:rPr>
                <w:rFonts w:ascii="Arial Narrow" w:hAnsi="Arial Narrow"/>
                <w:sz w:val="20"/>
              </w:rPr>
            </w:pPr>
            <w:r w:rsidRPr="00D3430D">
              <w:rPr>
                <w:rFonts w:ascii="Arial Narrow" w:hAnsi="Arial Narrow"/>
                <w:sz w:val="20"/>
              </w:rPr>
              <w:t>Number of patients with a positive test result</w:t>
            </w:r>
          </w:p>
        </w:tc>
        <w:tc>
          <w:tcPr>
            <w:tcW w:w="629" w:type="pct"/>
            <w:shd w:val="clear" w:color="auto" w:fill="auto"/>
            <w:vAlign w:val="center"/>
          </w:tcPr>
          <w:p w14:paraId="19973756" w14:textId="3808AB0E" w:rsidR="006B0FEE" w:rsidRPr="00FB0357" w:rsidRDefault="008830F2" w:rsidP="00AB5518">
            <w:pPr>
              <w:keepNext/>
              <w:keepLines/>
              <w:widowControl w:val="0"/>
              <w:tabs>
                <w:tab w:val="decimal" w:pos="396"/>
              </w:tabs>
              <w:spacing w:before="40" w:after="40" w:line="256" w:lineRule="auto"/>
              <w:jc w:val="center"/>
              <w:rPr>
                <w:rFonts w:ascii="Arial Narrow" w:hAnsi="Arial Narrow"/>
                <w:sz w:val="20"/>
              </w:rPr>
            </w:pPr>
            <w:r w:rsidRPr="008830F2">
              <w:rPr>
                <w:rFonts w:ascii="Arial Narrow" w:hAnsi="Arial Narrow" w:cs="Arial"/>
                <w:color w:val="000000"/>
                <w:sz w:val="20"/>
              </w:rPr>
              <w:t>redacted</w:t>
            </w:r>
            <w:r w:rsidR="009F1CE9">
              <w:rPr>
                <w:rFonts w:ascii="Arial Narrow" w:hAnsi="Arial Narrow" w:cs="Arial"/>
                <w:color w:val="000000"/>
                <w:sz w:val="20"/>
              </w:rPr>
              <w:t xml:space="preserve"> </w:t>
            </w:r>
            <w:r w:rsidR="009F1CE9">
              <w:rPr>
                <w:rFonts w:ascii="Arial Narrow" w:hAnsi="Arial Narrow" w:cs="Arial"/>
                <w:color w:val="000000"/>
                <w:sz w:val="20"/>
                <w:vertAlign w:val="superscript"/>
              </w:rPr>
              <w:t>1</w:t>
            </w:r>
          </w:p>
        </w:tc>
        <w:tc>
          <w:tcPr>
            <w:tcW w:w="629" w:type="pct"/>
            <w:shd w:val="clear" w:color="auto" w:fill="auto"/>
            <w:vAlign w:val="center"/>
          </w:tcPr>
          <w:p w14:paraId="59329636" w14:textId="212D278F" w:rsidR="006B0FEE" w:rsidRPr="00FB0357" w:rsidRDefault="008830F2" w:rsidP="00AB5518">
            <w:pPr>
              <w:keepNext/>
              <w:keepLines/>
              <w:widowControl w:val="0"/>
              <w:tabs>
                <w:tab w:val="decimal" w:pos="396"/>
              </w:tabs>
              <w:spacing w:before="40" w:after="40" w:line="256" w:lineRule="auto"/>
              <w:jc w:val="center"/>
              <w:rPr>
                <w:rFonts w:ascii="Arial Narrow" w:hAnsi="Arial Narrow"/>
                <w:sz w:val="20"/>
              </w:rPr>
            </w:pPr>
            <w:r w:rsidRPr="008830F2">
              <w:rPr>
                <w:rFonts w:ascii="Arial Narrow" w:hAnsi="Arial Narrow" w:cs="Arial"/>
                <w:color w:val="000000"/>
                <w:sz w:val="20"/>
              </w:rPr>
              <w:t>redacted</w:t>
            </w:r>
            <w:r w:rsidR="009F1CE9">
              <w:rPr>
                <w:rFonts w:ascii="Arial Narrow" w:hAnsi="Arial Narrow" w:cs="Arial"/>
                <w:color w:val="000000"/>
                <w:sz w:val="20"/>
              </w:rPr>
              <w:t xml:space="preserve"> </w:t>
            </w:r>
            <w:r w:rsidR="009F1CE9">
              <w:rPr>
                <w:rFonts w:ascii="Arial Narrow" w:hAnsi="Arial Narrow" w:cs="Arial"/>
                <w:color w:val="000000"/>
                <w:sz w:val="20"/>
                <w:vertAlign w:val="superscript"/>
              </w:rPr>
              <w:t>1</w:t>
            </w:r>
          </w:p>
        </w:tc>
        <w:tc>
          <w:tcPr>
            <w:tcW w:w="629" w:type="pct"/>
            <w:shd w:val="clear" w:color="auto" w:fill="auto"/>
            <w:vAlign w:val="center"/>
          </w:tcPr>
          <w:p w14:paraId="04B989C3" w14:textId="027125BB" w:rsidR="006B0FEE" w:rsidRPr="00FB0357" w:rsidRDefault="008830F2" w:rsidP="00AB5518">
            <w:pPr>
              <w:keepNext/>
              <w:keepLines/>
              <w:widowControl w:val="0"/>
              <w:tabs>
                <w:tab w:val="decimal" w:pos="396"/>
              </w:tabs>
              <w:spacing w:before="40" w:after="40" w:line="256" w:lineRule="auto"/>
              <w:jc w:val="center"/>
              <w:rPr>
                <w:rFonts w:ascii="Arial Narrow" w:hAnsi="Arial Narrow"/>
                <w:sz w:val="20"/>
              </w:rPr>
            </w:pPr>
            <w:r w:rsidRPr="008830F2">
              <w:rPr>
                <w:rFonts w:ascii="Arial Narrow" w:hAnsi="Arial Narrow" w:cs="Arial"/>
                <w:color w:val="000000"/>
                <w:sz w:val="20"/>
              </w:rPr>
              <w:t>redacted</w:t>
            </w:r>
            <w:r w:rsidR="009F1CE9">
              <w:rPr>
                <w:rFonts w:ascii="Arial Narrow" w:hAnsi="Arial Narrow" w:cs="Arial"/>
                <w:color w:val="000000"/>
                <w:sz w:val="20"/>
              </w:rPr>
              <w:t xml:space="preserve"> </w:t>
            </w:r>
            <w:r w:rsidR="009F1CE9">
              <w:rPr>
                <w:rFonts w:ascii="Arial Narrow" w:hAnsi="Arial Narrow" w:cs="Arial"/>
                <w:color w:val="000000"/>
                <w:sz w:val="20"/>
                <w:vertAlign w:val="superscript"/>
              </w:rPr>
              <w:t>1</w:t>
            </w:r>
          </w:p>
        </w:tc>
        <w:tc>
          <w:tcPr>
            <w:tcW w:w="628" w:type="pct"/>
            <w:shd w:val="clear" w:color="auto" w:fill="auto"/>
            <w:vAlign w:val="center"/>
          </w:tcPr>
          <w:p w14:paraId="5CE69FC8" w14:textId="12AFEDE2" w:rsidR="006B0FEE" w:rsidRPr="00FB0357" w:rsidRDefault="008830F2" w:rsidP="00AB5518">
            <w:pPr>
              <w:keepNext/>
              <w:keepLines/>
              <w:widowControl w:val="0"/>
              <w:tabs>
                <w:tab w:val="decimal" w:pos="396"/>
              </w:tabs>
              <w:spacing w:before="40" w:after="40" w:line="256" w:lineRule="auto"/>
              <w:jc w:val="center"/>
              <w:rPr>
                <w:rFonts w:ascii="Arial Narrow" w:hAnsi="Arial Narrow"/>
                <w:sz w:val="20"/>
              </w:rPr>
            </w:pPr>
            <w:r w:rsidRPr="008830F2">
              <w:rPr>
                <w:rFonts w:ascii="Arial Narrow" w:hAnsi="Arial Narrow" w:cs="Arial"/>
                <w:color w:val="000000"/>
                <w:sz w:val="20"/>
              </w:rPr>
              <w:t>redacted</w:t>
            </w:r>
            <w:r w:rsidR="009F1CE9">
              <w:rPr>
                <w:rFonts w:ascii="Arial Narrow" w:hAnsi="Arial Narrow" w:cs="Arial"/>
                <w:color w:val="000000"/>
                <w:sz w:val="20"/>
              </w:rPr>
              <w:t xml:space="preserve"> </w:t>
            </w:r>
            <w:r w:rsidR="009F1CE9">
              <w:rPr>
                <w:rFonts w:ascii="Arial Narrow" w:hAnsi="Arial Narrow" w:cs="Arial"/>
                <w:color w:val="000000"/>
                <w:sz w:val="20"/>
                <w:vertAlign w:val="superscript"/>
              </w:rPr>
              <w:t>1</w:t>
            </w:r>
          </w:p>
        </w:tc>
        <w:tc>
          <w:tcPr>
            <w:tcW w:w="627" w:type="pct"/>
            <w:shd w:val="clear" w:color="auto" w:fill="auto"/>
            <w:vAlign w:val="center"/>
          </w:tcPr>
          <w:p w14:paraId="168CA05D" w14:textId="759718FC" w:rsidR="006B0FEE" w:rsidRPr="00FB0357" w:rsidRDefault="008830F2" w:rsidP="00AB5518">
            <w:pPr>
              <w:keepNext/>
              <w:keepLines/>
              <w:widowControl w:val="0"/>
              <w:tabs>
                <w:tab w:val="decimal" w:pos="396"/>
              </w:tabs>
              <w:spacing w:before="40" w:after="40" w:line="256" w:lineRule="auto"/>
              <w:jc w:val="center"/>
              <w:rPr>
                <w:rFonts w:ascii="Arial Narrow" w:hAnsi="Arial Narrow"/>
                <w:sz w:val="20"/>
              </w:rPr>
            </w:pPr>
            <w:r>
              <w:rPr>
                <w:rFonts w:ascii="Arial Narrow" w:hAnsi="Arial Narrow" w:cs="Arial"/>
                <w:color w:val="000000"/>
                <w:sz w:val="20"/>
              </w:rPr>
              <w:t>r</w:t>
            </w:r>
            <w:r w:rsidRPr="008830F2">
              <w:rPr>
                <w:rFonts w:ascii="Arial Narrow" w:hAnsi="Arial Narrow" w:cs="Arial"/>
                <w:color w:val="000000"/>
                <w:sz w:val="20"/>
              </w:rPr>
              <w:t>edacted</w:t>
            </w:r>
            <w:r>
              <w:rPr>
                <w:rFonts w:ascii="Arial Narrow" w:hAnsi="Arial Narrow" w:cs="Arial"/>
                <w:color w:val="000000"/>
                <w:sz w:val="20"/>
              </w:rPr>
              <w:t xml:space="preserve"> </w:t>
            </w:r>
            <w:r w:rsidR="009F1CE9">
              <w:rPr>
                <w:rFonts w:ascii="Arial Narrow" w:hAnsi="Arial Narrow" w:cs="Arial"/>
                <w:color w:val="000000"/>
                <w:sz w:val="20"/>
                <w:vertAlign w:val="superscript"/>
              </w:rPr>
              <w:t>1</w:t>
            </w:r>
          </w:p>
        </w:tc>
        <w:tc>
          <w:tcPr>
            <w:tcW w:w="602" w:type="pct"/>
            <w:shd w:val="clear" w:color="auto" w:fill="auto"/>
            <w:vAlign w:val="center"/>
          </w:tcPr>
          <w:p w14:paraId="2BF0C80F" w14:textId="30428590" w:rsidR="006B0FEE" w:rsidRPr="00FB0357" w:rsidRDefault="008830F2" w:rsidP="00AB5518">
            <w:pPr>
              <w:keepNext/>
              <w:keepLines/>
              <w:widowControl w:val="0"/>
              <w:tabs>
                <w:tab w:val="decimal" w:pos="396"/>
              </w:tabs>
              <w:spacing w:before="40" w:after="40" w:line="256" w:lineRule="auto"/>
              <w:jc w:val="center"/>
              <w:rPr>
                <w:rFonts w:ascii="Arial Narrow" w:hAnsi="Arial Narrow"/>
                <w:sz w:val="20"/>
              </w:rPr>
            </w:pPr>
            <w:r>
              <w:rPr>
                <w:rFonts w:ascii="Arial Narrow" w:hAnsi="Arial Narrow" w:cs="Arial"/>
                <w:color w:val="000000"/>
                <w:sz w:val="20"/>
              </w:rPr>
              <w:t>r</w:t>
            </w:r>
            <w:r w:rsidRPr="008830F2">
              <w:rPr>
                <w:rFonts w:ascii="Arial Narrow" w:hAnsi="Arial Narrow" w:cs="Arial"/>
                <w:color w:val="000000"/>
                <w:sz w:val="20"/>
              </w:rPr>
              <w:t>edacted</w:t>
            </w:r>
            <w:r w:rsidR="009F1CE9">
              <w:rPr>
                <w:rFonts w:ascii="Arial Narrow" w:hAnsi="Arial Narrow" w:cs="Arial"/>
                <w:color w:val="000000"/>
                <w:sz w:val="20"/>
              </w:rPr>
              <w:t xml:space="preserve"> </w:t>
            </w:r>
            <w:r w:rsidR="009F1CE9">
              <w:rPr>
                <w:rFonts w:ascii="Arial Narrow" w:hAnsi="Arial Narrow" w:cs="Arial"/>
                <w:color w:val="000000"/>
                <w:sz w:val="20"/>
                <w:vertAlign w:val="superscript"/>
              </w:rPr>
              <w:t>1</w:t>
            </w:r>
          </w:p>
        </w:tc>
      </w:tr>
      <w:tr w:rsidR="006B0FEE" w:rsidRPr="00D3430D" w14:paraId="31BA70E3" w14:textId="77777777" w:rsidTr="00AB5518">
        <w:tc>
          <w:tcPr>
            <w:tcW w:w="5000" w:type="pct"/>
            <w:gridSpan w:val="7"/>
            <w:shd w:val="clear" w:color="auto" w:fill="auto"/>
            <w:vAlign w:val="center"/>
          </w:tcPr>
          <w:p w14:paraId="259DCC7C" w14:textId="351274A1" w:rsidR="006B0FEE" w:rsidRPr="00FB0357" w:rsidRDefault="006B0FEE" w:rsidP="00E370C0">
            <w:pPr>
              <w:keepNext/>
              <w:keepLines/>
              <w:widowControl w:val="0"/>
              <w:spacing w:before="40" w:after="40" w:line="256" w:lineRule="auto"/>
              <w:rPr>
                <w:rFonts w:ascii="Arial Narrow" w:hAnsi="Arial Narrow"/>
                <w:b/>
                <w:bCs/>
                <w:color w:val="000000"/>
                <w:sz w:val="20"/>
              </w:rPr>
            </w:pPr>
            <w:r w:rsidRPr="00FB0357">
              <w:rPr>
                <w:rFonts w:ascii="Arial Narrow" w:hAnsi="Arial Narrow"/>
                <w:b/>
                <w:sz w:val="20"/>
              </w:rPr>
              <w:t xml:space="preserve">Estimated financial implications of </w:t>
            </w:r>
            <w:r w:rsidRPr="00FB0357">
              <w:rPr>
                <w:rFonts w:ascii="Arial Narrow" w:hAnsi="Arial Narrow"/>
                <w:b/>
                <w:i/>
                <w:iCs/>
                <w:sz w:val="20"/>
              </w:rPr>
              <w:t>BRCA1/2</w:t>
            </w:r>
            <w:r w:rsidRPr="00FB0357">
              <w:rPr>
                <w:rFonts w:ascii="Arial Narrow" w:hAnsi="Arial Narrow"/>
                <w:b/>
                <w:sz w:val="20"/>
              </w:rPr>
              <w:t xml:space="preserve"> testing to the MBS</w:t>
            </w:r>
          </w:p>
        </w:tc>
      </w:tr>
      <w:tr w:rsidR="006B0FEE" w:rsidRPr="00D3430D" w14:paraId="598B2957" w14:textId="77777777" w:rsidTr="008830F2">
        <w:tc>
          <w:tcPr>
            <w:tcW w:w="1256" w:type="pct"/>
            <w:shd w:val="clear" w:color="auto" w:fill="auto"/>
            <w:vAlign w:val="center"/>
          </w:tcPr>
          <w:p w14:paraId="58898503" w14:textId="77777777" w:rsidR="006B0FEE" w:rsidRPr="00D3430D" w:rsidRDefault="006B0FEE" w:rsidP="00AB5518">
            <w:pPr>
              <w:keepNext/>
              <w:keepLines/>
              <w:widowControl w:val="0"/>
              <w:spacing w:before="40" w:after="40" w:line="256" w:lineRule="auto"/>
              <w:rPr>
                <w:rFonts w:ascii="Arial Narrow" w:hAnsi="Arial Narrow"/>
                <w:sz w:val="20"/>
              </w:rPr>
            </w:pPr>
            <w:r w:rsidRPr="00D3430D">
              <w:rPr>
                <w:rFonts w:ascii="Arial Narrow" w:hAnsi="Arial Narrow"/>
                <w:sz w:val="20"/>
              </w:rPr>
              <w:t>Tumour testing cost</w:t>
            </w:r>
          </w:p>
        </w:tc>
        <w:tc>
          <w:tcPr>
            <w:tcW w:w="629" w:type="pct"/>
            <w:shd w:val="clear" w:color="auto" w:fill="auto"/>
            <w:vAlign w:val="center"/>
          </w:tcPr>
          <w:p w14:paraId="2EC0A80C" w14:textId="421D0C4B" w:rsidR="006B0FEE" w:rsidRPr="00AB12B2" w:rsidRDefault="006B0FEE" w:rsidP="00AB5518">
            <w:pPr>
              <w:keepNext/>
              <w:keepLines/>
              <w:widowControl w:val="0"/>
              <w:spacing w:before="40" w:after="40" w:line="256" w:lineRule="auto"/>
              <w:jc w:val="center"/>
              <w:rPr>
                <w:rFonts w:ascii="Arial Narrow" w:hAnsi="Arial Narrow"/>
                <w:sz w:val="20"/>
                <w:vertAlign w:val="superscript"/>
              </w:rPr>
            </w:pPr>
            <w:r w:rsidRPr="008830F2">
              <w:rPr>
                <w:rFonts w:ascii="Arial Narrow" w:hAnsi="Arial Narrow" w:cs="Arial"/>
                <w:color w:val="000000"/>
                <w:sz w:val="20"/>
              </w:rPr>
              <w:t>$</w:t>
            </w:r>
            <w:r w:rsidR="00AB12B2" w:rsidRPr="008830F2">
              <w:rPr>
                <w:rFonts w:ascii="Arial Narrow" w:hAnsi="Arial Narrow" w:cs="Arial"/>
                <w:color w:val="000000"/>
                <w:sz w:val="20"/>
              </w:rPr>
              <w:t>redacted</w:t>
            </w:r>
            <w:r w:rsidR="00AB12B2">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2FFB93AD" w14:textId="421B8875"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615D19FB" w14:textId="2B257E99"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8" w:type="pct"/>
            <w:shd w:val="clear" w:color="auto" w:fill="auto"/>
            <w:vAlign w:val="center"/>
          </w:tcPr>
          <w:p w14:paraId="4BBA8C9F" w14:textId="55F4273A"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7" w:type="pct"/>
            <w:shd w:val="clear" w:color="auto" w:fill="auto"/>
            <w:vAlign w:val="center"/>
          </w:tcPr>
          <w:p w14:paraId="4EB192D1" w14:textId="7B4A19D2"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02" w:type="pct"/>
            <w:shd w:val="clear" w:color="auto" w:fill="auto"/>
            <w:vAlign w:val="center"/>
          </w:tcPr>
          <w:p w14:paraId="0D5A3AB7" w14:textId="3D3B46A0"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r>
      <w:tr w:rsidR="006B0FEE" w:rsidRPr="00D3430D" w14:paraId="7B85EA72" w14:textId="77777777" w:rsidTr="008830F2">
        <w:tc>
          <w:tcPr>
            <w:tcW w:w="1256" w:type="pct"/>
            <w:shd w:val="clear" w:color="auto" w:fill="auto"/>
            <w:vAlign w:val="center"/>
          </w:tcPr>
          <w:p w14:paraId="4ABDC48C" w14:textId="77777777" w:rsidR="006B0FEE" w:rsidRPr="00D3430D" w:rsidRDefault="006B0FEE" w:rsidP="00AB5518">
            <w:pPr>
              <w:keepNext/>
              <w:keepLines/>
              <w:widowControl w:val="0"/>
              <w:spacing w:before="40" w:after="40" w:line="256" w:lineRule="auto"/>
              <w:rPr>
                <w:rFonts w:ascii="Arial Narrow" w:hAnsi="Arial Narrow"/>
                <w:sz w:val="20"/>
              </w:rPr>
            </w:pPr>
            <w:r w:rsidRPr="00D3430D">
              <w:rPr>
                <w:rFonts w:ascii="Arial Narrow" w:hAnsi="Arial Narrow"/>
                <w:sz w:val="20"/>
              </w:rPr>
              <w:t>Germline testing cost</w:t>
            </w:r>
          </w:p>
        </w:tc>
        <w:tc>
          <w:tcPr>
            <w:tcW w:w="629" w:type="pct"/>
            <w:shd w:val="clear" w:color="auto" w:fill="auto"/>
            <w:vAlign w:val="center"/>
          </w:tcPr>
          <w:p w14:paraId="6D2A15CF" w14:textId="28E13588"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02939612" w14:textId="626A2BB5"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72F0EB5B" w14:textId="010C2C99"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8" w:type="pct"/>
            <w:shd w:val="clear" w:color="auto" w:fill="auto"/>
            <w:vAlign w:val="center"/>
          </w:tcPr>
          <w:p w14:paraId="1F81F275" w14:textId="2C381048"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7" w:type="pct"/>
            <w:shd w:val="clear" w:color="auto" w:fill="auto"/>
            <w:vAlign w:val="center"/>
          </w:tcPr>
          <w:p w14:paraId="573F2860" w14:textId="072E3D72"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02" w:type="pct"/>
            <w:shd w:val="clear" w:color="auto" w:fill="auto"/>
            <w:vAlign w:val="center"/>
          </w:tcPr>
          <w:p w14:paraId="2CFCDBB8" w14:textId="7FFF882F"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r>
      <w:tr w:rsidR="006B0FEE" w:rsidRPr="00D3430D" w14:paraId="770A3FFB" w14:textId="77777777" w:rsidTr="008830F2">
        <w:tc>
          <w:tcPr>
            <w:tcW w:w="1256" w:type="pct"/>
            <w:shd w:val="clear" w:color="auto" w:fill="auto"/>
            <w:vAlign w:val="center"/>
          </w:tcPr>
          <w:p w14:paraId="5B8017FD" w14:textId="77777777" w:rsidR="006B0FEE" w:rsidRPr="00D3430D" w:rsidRDefault="006B0FEE" w:rsidP="00AB5518">
            <w:pPr>
              <w:keepNext/>
              <w:keepLines/>
              <w:widowControl w:val="0"/>
              <w:spacing w:before="40" w:after="40" w:line="256" w:lineRule="auto"/>
              <w:rPr>
                <w:rFonts w:ascii="Arial Narrow" w:hAnsi="Arial Narrow"/>
                <w:sz w:val="20"/>
              </w:rPr>
            </w:pPr>
            <w:r w:rsidRPr="00D3430D">
              <w:rPr>
                <w:rFonts w:ascii="Arial Narrow" w:hAnsi="Arial Narrow"/>
                <w:sz w:val="20"/>
              </w:rPr>
              <w:t>MBS item 72860 (sample retrieval)</w:t>
            </w:r>
          </w:p>
        </w:tc>
        <w:tc>
          <w:tcPr>
            <w:tcW w:w="629" w:type="pct"/>
            <w:shd w:val="clear" w:color="auto" w:fill="auto"/>
            <w:vAlign w:val="center"/>
          </w:tcPr>
          <w:p w14:paraId="5C25396C" w14:textId="4B09C3A3" w:rsidR="006B0FEE" w:rsidRPr="00FB0357" w:rsidRDefault="008830F2" w:rsidP="00AB5518">
            <w:pPr>
              <w:keepNext/>
              <w:keepLines/>
              <w:widowControl w:val="0"/>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1B18CF62" w14:textId="1FA1CFC8" w:rsidR="006B0FEE" w:rsidRPr="00FB0357" w:rsidRDefault="008830F2" w:rsidP="00AB5518">
            <w:pPr>
              <w:keepNext/>
              <w:keepLines/>
              <w:widowControl w:val="0"/>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21D8B2B4" w14:textId="0F65A595" w:rsidR="006B0FEE" w:rsidRPr="00FB0357" w:rsidRDefault="008830F2" w:rsidP="00AB5518">
            <w:pPr>
              <w:keepNext/>
              <w:keepLines/>
              <w:widowControl w:val="0"/>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8" w:type="pct"/>
            <w:shd w:val="clear" w:color="auto" w:fill="auto"/>
            <w:vAlign w:val="center"/>
          </w:tcPr>
          <w:p w14:paraId="114C5D8A" w14:textId="67D1B51B" w:rsidR="006B0FEE" w:rsidRPr="00FB0357" w:rsidRDefault="008830F2" w:rsidP="00AB5518">
            <w:pPr>
              <w:keepNext/>
              <w:keepLines/>
              <w:widowControl w:val="0"/>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7" w:type="pct"/>
            <w:shd w:val="clear" w:color="auto" w:fill="auto"/>
            <w:vAlign w:val="center"/>
          </w:tcPr>
          <w:p w14:paraId="39AD28D0" w14:textId="573535F2" w:rsidR="006B0FEE" w:rsidRPr="00FB0357" w:rsidRDefault="008830F2" w:rsidP="00AB5518">
            <w:pPr>
              <w:keepNext/>
              <w:keepLines/>
              <w:widowControl w:val="0"/>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02" w:type="pct"/>
            <w:shd w:val="clear" w:color="auto" w:fill="auto"/>
            <w:vAlign w:val="center"/>
          </w:tcPr>
          <w:p w14:paraId="43037773" w14:textId="12A9DE9D" w:rsidR="006B0FEE" w:rsidRPr="00FB0357" w:rsidRDefault="008830F2" w:rsidP="00AB5518">
            <w:pPr>
              <w:keepNext/>
              <w:keepLines/>
              <w:widowControl w:val="0"/>
              <w:spacing w:before="40" w:after="40" w:line="256" w:lineRule="auto"/>
              <w:jc w:val="center"/>
              <w:rPr>
                <w:rFonts w:ascii="Arial Narrow" w:hAnsi="Arial Narrow" w:cs="Arial"/>
                <w:color w:val="000000"/>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r>
      <w:tr w:rsidR="006B0FEE" w:rsidRPr="00D3430D" w14:paraId="07EB80AD" w14:textId="77777777" w:rsidTr="008830F2">
        <w:tc>
          <w:tcPr>
            <w:tcW w:w="1256" w:type="pct"/>
            <w:shd w:val="clear" w:color="auto" w:fill="auto"/>
            <w:vAlign w:val="center"/>
          </w:tcPr>
          <w:p w14:paraId="5F456BC7" w14:textId="77777777" w:rsidR="006B0FEE" w:rsidRPr="00D3430D" w:rsidRDefault="006B0FEE" w:rsidP="00AB5518">
            <w:pPr>
              <w:keepNext/>
              <w:keepLines/>
              <w:widowControl w:val="0"/>
              <w:spacing w:before="40" w:after="40" w:line="256" w:lineRule="auto"/>
              <w:rPr>
                <w:rFonts w:ascii="Arial Narrow" w:hAnsi="Arial Narrow"/>
                <w:sz w:val="20"/>
              </w:rPr>
            </w:pPr>
            <w:r w:rsidRPr="00D3430D">
              <w:rPr>
                <w:rFonts w:ascii="Arial Narrow" w:hAnsi="Arial Narrow"/>
                <w:sz w:val="20"/>
              </w:rPr>
              <w:t>Cost to the MBS</w:t>
            </w:r>
          </w:p>
        </w:tc>
        <w:tc>
          <w:tcPr>
            <w:tcW w:w="629" w:type="pct"/>
            <w:shd w:val="clear" w:color="auto" w:fill="auto"/>
            <w:vAlign w:val="center"/>
          </w:tcPr>
          <w:p w14:paraId="0544AB35" w14:textId="55C9CC1F" w:rsidR="006B0FEE" w:rsidRPr="00FB0357" w:rsidRDefault="006B0FEE"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b/>
                <w:bCs/>
                <w:sz w:val="20"/>
              </w:rPr>
              <w:t>$</w:t>
            </w:r>
            <w:r w:rsidR="00AB12B2" w:rsidRPr="008830F2">
              <w:rPr>
                <w:rFonts w:ascii="Arial Narrow" w:hAnsi="Arial Narrow" w:cs="Arial"/>
                <w:b/>
                <w:bCs/>
                <w:sz w:val="20"/>
              </w:rPr>
              <w:t>redacted</w:t>
            </w:r>
            <w:r w:rsidR="009F1CE9">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3668B1AC" w14:textId="23A13C31"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6974EDC5" w14:textId="3432D5F4"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8" w:type="pct"/>
            <w:shd w:val="clear" w:color="auto" w:fill="auto"/>
            <w:vAlign w:val="center"/>
          </w:tcPr>
          <w:p w14:paraId="45D29A0C" w14:textId="3FCB016D"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7" w:type="pct"/>
            <w:shd w:val="clear" w:color="auto" w:fill="auto"/>
            <w:vAlign w:val="center"/>
          </w:tcPr>
          <w:p w14:paraId="3B6CA563" w14:textId="7D2349C1"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02" w:type="pct"/>
            <w:shd w:val="clear" w:color="auto" w:fill="auto"/>
            <w:vAlign w:val="center"/>
          </w:tcPr>
          <w:p w14:paraId="52119770" w14:textId="778A7B72"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r>
      <w:tr w:rsidR="006D6520" w:rsidRPr="00D3430D" w14:paraId="5FA194BE" w14:textId="77777777" w:rsidTr="008830F2">
        <w:tc>
          <w:tcPr>
            <w:tcW w:w="1256" w:type="pct"/>
            <w:shd w:val="clear" w:color="auto" w:fill="auto"/>
            <w:vAlign w:val="center"/>
          </w:tcPr>
          <w:p w14:paraId="70B43048" w14:textId="77777777" w:rsidR="006D6520" w:rsidRPr="00DD7F82" w:rsidRDefault="006D6520" w:rsidP="006D6520">
            <w:pPr>
              <w:keepNext/>
              <w:keepLines/>
              <w:widowControl w:val="0"/>
              <w:spacing w:before="40" w:after="40" w:line="256" w:lineRule="auto"/>
              <w:rPr>
                <w:rFonts w:ascii="Arial Narrow" w:hAnsi="Arial Narrow"/>
                <w:sz w:val="20"/>
              </w:rPr>
            </w:pPr>
            <w:r w:rsidRPr="00DD7F82">
              <w:rPr>
                <w:rFonts w:ascii="Arial Narrow" w:hAnsi="Arial Narrow"/>
                <w:sz w:val="20"/>
              </w:rPr>
              <w:t xml:space="preserve">Cost to the MBS </w:t>
            </w:r>
            <w:r w:rsidRPr="00DD7F82">
              <w:rPr>
                <w:rFonts w:ascii="Arial Narrow" w:hAnsi="Arial Narrow"/>
                <w:sz w:val="20"/>
              </w:rPr>
              <w:br/>
              <w:t>(pre-MSAC response)</w:t>
            </w:r>
          </w:p>
        </w:tc>
        <w:tc>
          <w:tcPr>
            <w:tcW w:w="629" w:type="pct"/>
            <w:shd w:val="clear" w:color="auto" w:fill="auto"/>
          </w:tcPr>
          <w:p w14:paraId="4BAD2647" w14:textId="06F6C192" w:rsidR="006D6520" w:rsidRPr="00FB0357" w:rsidRDefault="008830F2" w:rsidP="006D6520">
            <w:pPr>
              <w:keepNext/>
              <w:keepLines/>
              <w:widowControl w:val="0"/>
              <w:spacing w:before="40" w:after="40" w:line="256" w:lineRule="auto"/>
              <w:jc w:val="center"/>
              <w:rPr>
                <w:rFonts w:ascii="Arial Narrow" w:hAnsi="Arial Narrow" w:cs="Arial"/>
                <w:b/>
                <w:bCs/>
                <w:sz w:val="20"/>
                <w:szCs w:val="22"/>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9" w:type="pct"/>
            <w:shd w:val="clear" w:color="auto" w:fill="auto"/>
          </w:tcPr>
          <w:p w14:paraId="4CA24FD4" w14:textId="7854D028" w:rsidR="006D6520" w:rsidRPr="00FB0357" w:rsidRDefault="008830F2" w:rsidP="006D6520">
            <w:pPr>
              <w:keepNext/>
              <w:keepLines/>
              <w:widowControl w:val="0"/>
              <w:spacing w:before="40" w:after="40" w:line="256" w:lineRule="auto"/>
              <w:jc w:val="center"/>
              <w:rPr>
                <w:rFonts w:ascii="Arial Narrow" w:hAnsi="Arial Narrow" w:cs="Arial"/>
                <w:b/>
                <w:bCs/>
                <w:sz w:val="20"/>
                <w:szCs w:val="22"/>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9" w:type="pct"/>
            <w:shd w:val="clear" w:color="auto" w:fill="auto"/>
          </w:tcPr>
          <w:p w14:paraId="09DD5049" w14:textId="4411B00E" w:rsidR="006D6520" w:rsidRPr="00FB0357" w:rsidRDefault="008830F2" w:rsidP="006D6520">
            <w:pPr>
              <w:keepNext/>
              <w:keepLines/>
              <w:widowControl w:val="0"/>
              <w:spacing w:before="40" w:after="40" w:line="256" w:lineRule="auto"/>
              <w:jc w:val="center"/>
              <w:rPr>
                <w:rFonts w:ascii="Arial Narrow" w:hAnsi="Arial Narrow" w:cs="Arial"/>
                <w:b/>
                <w:bCs/>
                <w:sz w:val="20"/>
                <w:szCs w:val="22"/>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8" w:type="pct"/>
            <w:shd w:val="clear" w:color="auto" w:fill="auto"/>
          </w:tcPr>
          <w:p w14:paraId="0A5DB2F3" w14:textId="471C06F2" w:rsidR="006D6520" w:rsidRPr="00FB0357" w:rsidRDefault="008830F2" w:rsidP="006D6520">
            <w:pPr>
              <w:keepNext/>
              <w:keepLines/>
              <w:widowControl w:val="0"/>
              <w:spacing w:before="40" w:after="40" w:line="256" w:lineRule="auto"/>
              <w:jc w:val="center"/>
              <w:rPr>
                <w:rFonts w:ascii="Arial Narrow" w:hAnsi="Arial Narrow" w:cs="Arial"/>
                <w:b/>
                <w:bCs/>
                <w:sz w:val="20"/>
                <w:szCs w:val="22"/>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7" w:type="pct"/>
            <w:shd w:val="clear" w:color="auto" w:fill="auto"/>
          </w:tcPr>
          <w:p w14:paraId="47A6D11E" w14:textId="657A9B47" w:rsidR="006D6520" w:rsidRPr="00FB0357" w:rsidRDefault="008830F2" w:rsidP="006D6520">
            <w:pPr>
              <w:keepNext/>
              <w:keepLines/>
              <w:widowControl w:val="0"/>
              <w:spacing w:before="40" w:after="40" w:line="256" w:lineRule="auto"/>
              <w:jc w:val="center"/>
              <w:rPr>
                <w:rFonts w:ascii="Arial Narrow" w:hAnsi="Arial Narrow" w:cs="Arial"/>
                <w:b/>
                <w:bCs/>
                <w:sz w:val="20"/>
                <w:szCs w:val="22"/>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02" w:type="pct"/>
            <w:shd w:val="clear" w:color="auto" w:fill="auto"/>
          </w:tcPr>
          <w:p w14:paraId="65B1589E" w14:textId="47556EC4" w:rsidR="006D6520" w:rsidRPr="00FB0357" w:rsidRDefault="008830F2" w:rsidP="006D6520">
            <w:pPr>
              <w:keepNext/>
              <w:keepLines/>
              <w:widowControl w:val="0"/>
              <w:spacing w:before="40" w:after="40" w:line="256" w:lineRule="auto"/>
              <w:jc w:val="center"/>
              <w:rPr>
                <w:rFonts w:ascii="Arial Narrow" w:hAnsi="Arial Narrow" w:cs="Arial"/>
                <w:b/>
                <w:bCs/>
                <w:sz w:val="20"/>
                <w:szCs w:val="22"/>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r>
      <w:tr w:rsidR="006B0FEE" w:rsidRPr="00D3430D" w14:paraId="67053363" w14:textId="77777777" w:rsidTr="00AB5518">
        <w:tc>
          <w:tcPr>
            <w:tcW w:w="5000" w:type="pct"/>
            <w:gridSpan w:val="7"/>
            <w:shd w:val="clear" w:color="auto" w:fill="auto"/>
            <w:vAlign w:val="center"/>
          </w:tcPr>
          <w:p w14:paraId="54D413B7" w14:textId="20110C7F" w:rsidR="006B0FEE" w:rsidRPr="00FB0357" w:rsidRDefault="006B0FEE" w:rsidP="00E370C0">
            <w:pPr>
              <w:keepNext/>
              <w:keepLines/>
              <w:widowControl w:val="0"/>
              <w:spacing w:before="40" w:after="40" w:line="256" w:lineRule="auto"/>
              <w:rPr>
                <w:rFonts w:ascii="Arial Narrow" w:hAnsi="Arial Narrow"/>
                <w:b/>
                <w:sz w:val="20"/>
              </w:rPr>
            </w:pPr>
            <w:r w:rsidRPr="00FB0357">
              <w:rPr>
                <w:rFonts w:ascii="Arial Narrow" w:hAnsi="Arial Narrow"/>
                <w:b/>
                <w:sz w:val="20"/>
              </w:rPr>
              <w:t xml:space="preserve">Estimated financial implications of </w:t>
            </w:r>
            <w:r w:rsidRPr="00FB0357">
              <w:rPr>
                <w:rFonts w:ascii="Arial Narrow" w:hAnsi="Arial Narrow"/>
                <w:b/>
                <w:i/>
                <w:iCs/>
                <w:sz w:val="20"/>
              </w:rPr>
              <w:t>BRCA1/2</w:t>
            </w:r>
            <w:r w:rsidRPr="00FB0357">
              <w:rPr>
                <w:rFonts w:ascii="Arial Narrow" w:hAnsi="Arial Narrow"/>
                <w:b/>
                <w:sz w:val="20"/>
              </w:rPr>
              <w:t xml:space="preserve"> </w:t>
            </w:r>
            <w:r w:rsidR="00047B07" w:rsidRPr="00FB0357">
              <w:rPr>
                <w:rFonts w:ascii="Arial Narrow" w:hAnsi="Arial Narrow"/>
                <w:b/>
                <w:sz w:val="20"/>
              </w:rPr>
              <w:t xml:space="preserve">germline and </w:t>
            </w:r>
            <w:r w:rsidRPr="00FB0357">
              <w:rPr>
                <w:rFonts w:ascii="Arial Narrow" w:hAnsi="Arial Narrow"/>
                <w:b/>
                <w:sz w:val="20"/>
              </w:rPr>
              <w:t>cascade testing for family members following a positive tumour test</w:t>
            </w:r>
          </w:p>
        </w:tc>
      </w:tr>
      <w:tr w:rsidR="006B0FEE" w:rsidRPr="00D3430D" w14:paraId="69B69482" w14:textId="77777777" w:rsidTr="008830F2">
        <w:tc>
          <w:tcPr>
            <w:tcW w:w="1256" w:type="pct"/>
            <w:shd w:val="clear" w:color="auto" w:fill="auto"/>
            <w:vAlign w:val="center"/>
          </w:tcPr>
          <w:p w14:paraId="4D9149FC" w14:textId="77777777" w:rsidR="006B0FEE" w:rsidRPr="00D3430D" w:rsidRDefault="006B0FEE" w:rsidP="00AB5518">
            <w:pPr>
              <w:keepNext/>
              <w:keepLines/>
              <w:widowControl w:val="0"/>
              <w:spacing w:before="40" w:after="40" w:line="256" w:lineRule="auto"/>
              <w:rPr>
                <w:rFonts w:ascii="Arial Narrow" w:hAnsi="Arial Narrow"/>
                <w:sz w:val="20"/>
              </w:rPr>
            </w:pPr>
            <w:r w:rsidRPr="00D3430D">
              <w:rPr>
                <w:rFonts w:ascii="Arial Narrow" w:hAnsi="Arial Narrow"/>
                <w:sz w:val="20"/>
              </w:rPr>
              <w:t>MBS item 73302</w:t>
            </w:r>
          </w:p>
        </w:tc>
        <w:tc>
          <w:tcPr>
            <w:tcW w:w="629" w:type="pct"/>
            <w:shd w:val="clear" w:color="auto" w:fill="auto"/>
            <w:vAlign w:val="center"/>
          </w:tcPr>
          <w:p w14:paraId="59D02D66" w14:textId="0E24657C"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226A8EA1" w14:textId="6E18DDF0"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6CEE7188" w14:textId="6B47873C"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8" w:type="pct"/>
            <w:shd w:val="clear" w:color="auto" w:fill="auto"/>
            <w:vAlign w:val="center"/>
          </w:tcPr>
          <w:p w14:paraId="12864D58" w14:textId="768F8DD1"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7" w:type="pct"/>
            <w:shd w:val="clear" w:color="auto" w:fill="auto"/>
            <w:vAlign w:val="center"/>
          </w:tcPr>
          <w:p w14:paraId="4551E1D7" w14:textId="54655474"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02" w:type="pct"/>
            <w:shd w:val="clear" w:color="auto" w:fill="auto"/>
            <w:vAlign w:val="center"/>
          </w:tcPr>
          <w:p w14:paraId="7151C9C6" w14:textId="32FB3568"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r>
      <w:tr w:rsidR="006B0FEE" w:rsidRPr="00D3430D" w14:paraId="15D54C1D" w14:textId="77777777" w:rsidTr="008830F2">
        <w:tc>
          <w:tcPr>
            <w:tcW w:w="1256" w:type="pct"/>
            <w:shd w:val="clear" w:color="auto" w:fill="auto"/>
            <w:vAlign w:val="center"/>
          </w:tcPr>
          <w:p w14:paraId="1C6C2881" w14:textId="77777777" w:rsidR="006B0FEE" w:rsidRPr="00D3430D" w:rsidRDefault="006B0FEE" w:rsidP="00AB5518">
            <w:pPr>
              <w:keepNext/>
              <w:keepLines/>
              <w:widowControl w:val="0"/>
              <w:spacing w:before="40" w:after="40" w:line="256" w:lineRule="auto"/>
              <w:rPr>
                <w:rFonts w:ascii="Arial Narrow" w:hAnsi="Arial Narrow"/>
                <w:sz w:val="20"/>
              </w:rPr>
            </w:pPr>
            <w:r w:rsidRPr="00D3430D">
              <w:rPr>
                <w:rFonts w:ascii="Arial Narrow" w:hAnsi="Arial Narrow"/>
                <w:sz w:val="20"/>
              </w:rPr>
              <w:t>MBS item 73297</w:t>
            </w:r>
          </w:p>
        </w:tc>
        <w:tc>
          <w:tcPr>
            <w:tcW w:w="629" w:type="pct"/>
            <w:shd w:val="clear" w:color="auto" w:fill="auto"/>
            <w:vAlign w:val="center"/>
          </w:tcPr>
          <w:p w14:paraId="7C5A9834" w14:textId="0342E4A3"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3A8DFDB3" w14:textId="525E656D"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744A8AC6" w14:textId="4FB6D2D3"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8" w:type="pct"/>
            <w:shd w:val="clear" w:color="auto" w:fill="auto"/>
            <w:vAlign w:val="center"/>
          </w:tcPr>
          <w:p w14:paraId="6ABACA75" w14:textId="607FFD14"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27" w:type="pct"/>
            <w:shd w:val="clear" w:color="auto" w:fill="auto"/>
            <w:vAlign w:val="center"/>
          </w:tcPr>
          <w:p w14:paraId="1AF5E683" w14:textId="1A0683CC"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c>
          <w:tcPr>
            <w:tcW w:w="602" w:type="pct"/>
            <w:shd w:val="clear" w:color="auto" w:fill="auto"/>
            <w:vAlign w:val="center"/>
          </w:tcPr>
          <w:p w14:paraId="6698FAAA" w14:textId="319C001D" w:rsidR="006B0FEE" w:rsidRPr="00FB0357" w:rsidRDefault="008830F2" w:rsidP="00AB5518">
            <w:pPr>
              <w:keepNext/>
              <w:keepLines/>
              <w:widowControl w:val="0"/>
              <w:spacing w:before="40" w:after="40" w:line="256" w:lineRule="auto"/>
              <w:jc w:val="center"/>
              <w:rPr>
                <w:rFonts w:ascii="Arial Narrow" w:hAnsi="Arial Narrow"/>
                <w:sz w:val="20"/>
              </w:rPr>
            </w:pPr>
            <w:r w:rsidRPr="008830F2">
              <w:rPr>
                <w:rFonts w:ascii="Arial Narrow" w:hAnsi="Arial Narrow" w:cs="Arial"/>
                <w:color w:val="000000"/>
                <w:sz w:val="20"/>
              </w:rPr>
              <w:t>$redacted</w:t>
            </w:r>
            <w:r>
              <w:rPr>
                <w:rFonts w:ascii="Arial Narrow" w:hAnsi="Arial Narrow" w:cs="Arial"/>
                <w:color w:val="000000"/>
                <w:sz w:val="20"/>
                <w:vertAlign w:val="superscript"/>
              </w:rPr>
              <w:t xml:space="preserve"> </w:t>
            </w:r>
            <w:r w:rsidR="009F1CE9">
              <w:rPr>
                <w:rFonts w:ascii="Arial Narrow" w:hAnsi="Arial Narrow" w:cs="Arial"/>
                <w:color w:val="000000"/>
                <w:sz w:val="20"/>
                <w:vertAlign w:val="superscript"/>
              </w:rPr>
              <w:t>3</w:t>
            </w:r>
          </w:p>
        </w:tc>
      </w:tr>
      <w:tr w:rsidR="006B0FEE" w:rsidRPr="00D3430D" w14:paraId="0486E5BC" w14:textId="77777777" w:rsidTr="008830F2">
        <w:tc>
          <w:tcPr>
            <w:tcW w:w="1256" w:type="pct"/>
            <w:shd w:val="clear" w:color="auto" w:fill="auto"/>
            <w:vAlign w:val="center"/>
          </w:tcPr>
          <w:p w14:paraId="32D5ADC8" w14:textId="77777777" w:rsidR="006B0FEE" w:rsidRPr="00D3430D" w:rsidRDefault="006B0FEE" w:rsidP="00AB5518">
            <w:pPr>
              <w:keepNext/>
              <w:keepLines/>
              <w:widowControl w:val="0"/>
              <w:spacing w:before="40" w:after="40" w:line="256" w:lineRule="auto"/>
              <w:rPr>
                <w:rFonts w:ascii="Arial Narrow" w:hAnsi="Arial Narrow"/>
                <w:sz w:val="20"/>
              </w:rPr>
            </w:pPr>
            <w:r w:rsidRPr="00D3430D">
              <w:rPr>
                <w:rFonts w:ascii="Arial Narrow" w:hAnsi="Arial Narrow"/>
                <w:sz w:val="20"/>
              </w:rPr>
              <w:t>Cost to the MBS</w:t>
            </w:r>
          </w:p>
        </w:tc>
        <w:tc>
          <w:tcPr>
            <w:tcW w:w="629" w:type="pct"/>
            <w:shd w:val="clear" w:color="auto" w:fill="auto"/>
            <w:vAlign w:val="center"/>
          </w:tcPr>
          <w:p w14:paraId="4A78A2CE" w14:textId="3BC907CA" w:rsidR="006B0FEE" w:rsidRPr="00FB0357" w:rsidRDefault="008830F2" w:rsidP="00AB5518">
            <w:pPr>
              <w:keepNext/>
              <w:keepLines/>
              <w:widowControl w:val="0"/>
              <w:spacing w:before="40" w:after="40" w:line="256" w:lineRule="auto"/>
              <w:jc w:val="center"/>
              <w:rPr>
                <w:rFonts w:ascii="Arial Narrow" w:hAnsi="Arial Narrow"/>
                <w:b/>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110A87D0" w14:textId="7419015A" w:rsidR="006B0FEE" w:rsidRPr="00FB0357" w:rsidRDefault="008830F2" w:rsidP="00AB5518">
            <w:pPr>
              <w:keepNext/>
              <w:keepLines/>
              <w:widowControl w:val="0"/>
              <w:spacing w:before="40" w:after="40" w:line="256" w:lineRule="auto"/>
              <w:jc w:val="center"/>
              <w:rPr>
                <w:rFonts w:ascii="Arial Narrow" w:hAnsi="Arial Narrow"/>
                <w:b/>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5C08FB45" w14:textId="3B78E233" w:rsidR="006B0FEE" w:rsidRPr="00FB0357" w:rsidRDefault="008830F2" w:rsidP="00AB5518">
            <w:pPr>
              <w:keepNext/>
              <w:keepLines/>
              <w:widowControl w:val="0"/>
              <w:spacing w:before="40" w:after="40" w:line="256" w:lineRule="auto"/>
              <w:jc w:val="center"/>
              <w:rPr>
                <w:rFonts w:ascii="Arial Narrow" w:hAnsi="Arial Narrow"/>
                <w:b/>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8" w:type="pct"/>
            <w:shd w:val="clear" w:color="auto" w:fill="auto"/>
            <w:vAlign w:val="center"/>
          </w:tcPr>
          <w:p w14:paraId="5F9C758F" w14:textId="0BA51895" w:rsidR="006B0FEE" w:rsidRPr="00FB0357" w:rsidRDefault="008830F2" w:rsidP="00AB5518">
            <w:pPr>
              <w:keepNext/>
              <w:keepLines/>
              <w:widowControl w:val="0"/>
              <w:spacing w:before="40" w:after="40" w:line="256" w:lineRule="auto"/>
              <w:jc w:val="center"/>
              <w:rPr>
                <w:rFonts w:ascii="Arial Narrow" w:hAnsi="Arial Narrow"/>
                <w:b/>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7" w:type="pct"/>
            <w:shd w:val="clear" w:color="auto" w:fill="auto"/>
            <w:vAlign w:val="center"/>
          </w:tcPr>
          <w:p w14:paraId="1056D395" w14:textId="191730CB" w:rsidR="006B0FEE" w:rsidRPr="00FB0357" w:rsidRDefault="008830F2" w:rsidP="00AB5518">
            <w:pPr>
              <w:keepNext/>
              <w:keepLines/>
              <w:widowControl w:val="0"/>
              <w:spacing w:before="40" w:after="40" w:line="256" w:lineRule="auto"/>
              <w:jc w:val="center"/>
              <w:rPr>
                <w:rFonts w:ascii="Arial Narrow" w:hAnsi="Arial Narrow"/>
                <w:b/>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02" w:type="pct"/>
            <w:shd w:val="clear" w:color="auto" w:fill="auto"/>
            <w:vAlign w:val="center"/>
          </w:tcPr>
          <w:p w14:paraId="6DFFAC6E" w14:textId="04D2AECB" w:rsidR="006B0FEE" w:rsidRPr="00FB0357" w:rsidRDefault="008830F2" w:rsidP="00AB5518">
            <w:pPr>
              <w:keepNext/>
              <w:keepLines/>
              <w:widowControl w:val="0"/>
              <w:spacing w:before="40" w:after="40" w:line="256" w:lineRule="auto"/>
              <w:jc w:val="center"/>
              <w:rPr>
                <w:rFonts w:ascii="Arial Narrow" w:hAnsi="Arial Narrow"/>
                <w:b/>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r>
      <w:tr w:rsidR="006B0FEE" w:rsidRPr="00D3430D" w14:paraId="0AB3869F" w14:textId="77777777" w:rsidTr="00AB5518">
        <w:tc>
          <w:tcPr>
            <w:tcW w:w="5000" w:type="pct"/>
            <w:gridSpan w:val="7"/>
            <w:shd w:val="clear" w:color="auto" w:fill="auto"/>
            <w:vAlign w:val="center"/>
          </w:tcPr>
          <w:p w14:paraId="462814D2" w14:textId="77777777" w:rsidR="006B0FEE" w:rsidRPr="00FB0357" w:rsidRDefault="006B0FEE" w:rsidP="00AB5518">
            <w:pPr>
              <w:keepNext/>
              <w:keepLines/>
              <w:widowControl w:val="0"/>
              <w:spacing w:before="40" w:after="40" w:line="256" w:lineRule="auto"/>
              <w:rPr>
                <w:rFonts w:ascii="Arial Narrow" w:hAnsi="Arial Narrow"/>
                <w:b/>
                <w:sz w:val="20"/>
              </w:rPr>
            </w:pPr>
            <w:r w:rsidRPr="00FB0357">
              <w:rPr>
                <w:rFonts w:ascii="Arial Narrow" w:hAnsi="Arial Narrow"/>
                <w:b/>
                <w:sz w:val="20"/>
              </w:rPr>
              <w:t>Net financial implications</w:t>
            </w:r>
          </w:p>
        </w:tc>
      </w:tr>
      <w:tr w:rsidR="006B0FEE" w:rsidRPr="00D3430D" w14:paraId="2D033707" w14:textId="77777777" w:rsidTr="008830F2">
        <w:tc>
          <w:tcPr>
            <w:tcW w:w="1256" w:type="pct"/>
            <w:shd w:val="clear" w:color="auto" w:fill="auto"/>
            <w:vAlign w:val="center"/>
          </w:tcPr>
          <w:p w14:paraId="24403C6F" w14:textId="77777777" w:rsidR="006B0FEE" w:rsidRPr="00D3430D" w:rsidRDefault="006B0FEE" w:rsidP="00AB5518">
            <w:pPr>
              <w:keepNext/>
              <w:keepLines/>
              <w:widowControl w:val="0"/>
              <w:spacing w:before="40" w:after="40" w:line="256" w:lineRule="auto"/>
              <w:rPr>
                <w:rFonts w:ascii="Arial Narrow" w:hAnsi="Arial Narrow"/>
                <w:sz w:val="20"/>
              </w:rPr>
            </w:pPr>
            <w:r w:rsidRPr="00D3430D">
              <w:rPr>
                <w:rFonts w:ascii="Arial Narrow" w:hAnsi="Arial Narrow"/>
                <w:sz w:val="20"/>
              </w:rPr>
              <w:t>Net cost to MBS (base case)</w:t>
            </w:r>
          </w:p>
        </w:tc>
        <w:tc>
          <w:tcPr>
            <w:tcW w:w="629" w:type="pct"/>
            <w:shd w:val="clear" w:color="auto" w:fill="auto"/>
            <w:vAlign w:val="center"/>
          </w:tcPr>
          <w:p w14:paraId="4F5B2A6B" w14:textId="4296522F" w:rsidR="006B0FEE" w:rsidRPr="00FB0357" w:rsidRDefault="008830F2" w:rsidP="00AB5518">
            <w:pPr>
              <w:keepNext/>
              <w:keepLines/>
              <w:widowControl w:val="0"/>
              <w:spacing w:before="40" w:after="40" w:line="256" w:lineRule="auto"/>
              <w:jc w:val="center"/>
              <w:rPr>
                <w:rFonts w:ascii="Arial Narrow" w:hAnsi="Arial Narrow"/>
                <w:i/>
                <w:iCs/>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77771845" w14:textId="7439C35A" w:rsidR="006B0FEE" w:rsidRPr="00FB0357" w:rsidRDefault="008830F2" w:rsidP="00AB5518">
            <w:pPr>
              <w:keepNext/>
              <w:keepLines/>
              <w:widowControl w:val="0"/>
              <w:spacing w:before="40" w:after="40" w:line="256" w:lineRule="auto"/>
              <w:jc w:val="center"/>
              <w:rPr>
                <w:rFonts w:ascii="Arial Narrow" w:hAnsi="Arial Narrow"/>
                <w:i/>
                <w:iCs/>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9" w:type="pct"/>
            <w:shd w:val="clear" w:color="auto" w:fill="auto"/>
            <w:vAlign w:val="center"/>
          </w:tcPr>
          <w:p w14:paraId="2EEB0142" w14:textId="1FF203B8" w:rsidR="006B0FEE" w:rsidRPr="00FB0357" w:rsidRDefault="008830F2" w:rsidP="00AB5518">
            <w:pPr>
              <w:keepNext/>
              <w:keepLines/>
              <w:widowControl w:val="0"/>
              <w:spacing w:before="40" w:after="40" w:line="256" w:lineRule="auto"/>
              <w:jc w:val="center"/>
              <w:rPr>
                <w:rFonts w:ascii="Arial Narrow" w:hAnsi="Arial Narrow"/>
                <w:i/>
                <w:iCs/>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8" w:type="pct"/>
            <w:shd w:val="clear" w:color="auto" w:fill="auto"/>
            <w:vAlign w:val="center"/>
          </w:tcPr>
          <w:p w14:paraId="089C13ED" w14:textId="0C257C73" w:rsidR="006B0FEE" w:rsidRPr="00FB0357" w:rsidRDefault="008830F2" w:rsidP="00AB5518">
            <w:pPr>
              <w:keepNext/>
              <w:keepLines/>
              <w:widowControl w:val="0"/>
              <w:spacing w:before="40" w:after="40" w:line="256" w:lineRule="auto"/>
              <w:jc w:val="center"/>
              <w:rPr>
                <w:rFonts w:ascii="Arial Narrow" w:hAnsi="Arial Narrow"/>
                <w:i/>
                <w:iCs/>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7" w:type="pct"/>
            <w:shd w:val="clear" w:color="auto" w:fill="auto"/>
            <w:vAlign w:val="center"/>
          </w:tcPr>
          <w:p w14:paraId="66B5217E" w14:textId="5FE14532" w:rsidR="006B0FEE" w:rsidRPr="00FB0357" w:rsidRDefault="008830F2" w:rsidP="00AB5518">
            <w:pPr>
              <w:keepNext/>
              <w:keepLines/>
              <w:widowControl w:val="0"/>
              <w:spacing w:before="40" w:after="40" w:line="256" w:lineRule="auto"/>
              <w:jc w:val="center"/>
              <w:rPr>
                <w:rFonts w:ascii="Arial Narrow" w:hAnsi="Arial Narrow"/>
                <w:i/>
                <w:iCs/>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02" w:type="pct"/>
            <w:shd w:val="clear" w:color="auto" w:fill="auto"/>
            <w:vAlign w:val="center"/>
          </w:tcPr>
          <w:p w14:paraId="4DD2DA08" w14:textId="05C182D0" w:rsidR="006B0FEE" w:rsidRPr="00FB0357" w:rsidRDefault="008830F2" w:rsidP="00AB5518">
            <w:pPr>
              <w:keepNext/>
              <w:keepLines/>
              <w:widowControl w:val="0"/>
              <w:spacing w:before="40" w:after="40" w:line="256" w:lineRule="auto"/>
              <w:jc w:val="center"/>
              <w:rPr>
                <w:rFonts w:ascii="Arial Narrow" w:hAnsi="Arial Narrow"/>
                <w:i/>
                <w:iCs/>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r>
      <w:tr w:rsidR="006B0FEE" w:rsidRPr="00D3430D" w14:paraId="2ED97330" w14:textId="77777777" w:rsidTr="008830F2">
        <w:tc>
          <w:tcPr>
            <w:tcW w:w="1256" w:type="pct"/>
            <w:shd w:val="clear" w:color="auto" w:fill="auto"/>
            <w:vAlign w:val="center"/>
          </w:tcPr>
          <w:p w14:paraId="6F62E460" w14:textId="3F4FE17B" w:rsidR="006B0FEE" w:rsidRPr="00D3430D" w:rsidRDefault="006B0FEE" w:rsidP="00AB5518">
            <w:pPr>
              <w:keepNext/>
              <w:keepLines/>
              <w:widowControl w:val="0"/>
              <w:spacing w:before="40" w:after="40" w:line="256" w:lineRule="auto"/>
              <w:rPr>
                <w:rFonts w:ascii="Times" w:hAnsi="Times"/>
                <w:i/>
                <w:iCs/>
                <w:sz w:val="20"/>
              </w:rPr>
            </w:pPr>
            <w:r w:rsidRPr="00D3430D">
              <w:rPr>
                <w:rFonts w:ascii="Arial Narrow" w:hAnsi="Arial Narrow"/>
                <w:i/>
                <w:iCs/>
                <w:sz w:val="20"/>
              </w:rPr>
              <w:t xml:space="preserve">Net cost to MBS (including </w:t>
            </w:r>
            <w:r w:rsidR="00876076">
              <w:rPr>
                <w:rFonts w:ascii="Arial Narrow" w:hAnsi="Arial Narrow"/>
                <w:i/>
                <w:iCs/>
                <w:sz w:val="20"/>
              </w:rPr>
              <w:t xml:space="preserve">germline and </w:t>
            </w:r>
            <w:r w:rsidRPr="00D3430D">
              <w:rPr>
                <w:rFonts w:ascii="Arial Narrow" w:hAnsi="Arial Narrow"/>
                <w:i/>
                <w:iCs/>
                <w:sz w:val="20"/>
              </w:rPr>
              <w:t>cascade testing)</w:t>
            </w:r>
          </w:p>
        </w:tc>
        <w:tc>
          <w:tcPr>
            <w:tcW w:w="629" w:type="pct"/>
            <w:shd w:val="clear" w:color="auto" w:fill="auto"/>
          </w:tcPr>
          <w:p w14:paraId="3FE0391A" w14:textId="57A0E3DB" w:rsidR="006B0FEE" w:rsidRPr="00FB0357" w:rsidRDefault="008830F2" w:rsidP="00AB5518">
            <w:pPr>
              <w:keepNext/>
              <w:keepLines/>
              <w:widowControl w:val="0"/>
              <w:spacing w:before="40" w:after="40" w:line="256" w:lineRule="auto"/>
              <w:jc w:val="center"/>
              <w:rPr>
                <w:rFonts w:ascii="Arial Narrow" w:hAnsi="Arial Narrow"/>
                <w:b/>
                <w:i/>
                <w:iCs/>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9" w:type="pct"/>
            <w:shd w:val="clear" w:color="auto" w:fill="auto"/>
          </w:tcPr>
          <w:p w14:paraId="17FB6899" w14:textId="37FAE6D1" w:rsidR="006B0FEE" w:rsidRPr="00FB0357" w:rsidRDefault="008830F2" w:rsidP="00AB5518">
            <w:pPr>
              <w:keepNext/>
              <w:keepLines/>
              <w:widowControl w:val="0"/>
              <w:spacing w:before="40" w:after="40" w:line="256" w:lineRule="auto"/>
              <w:jc w:val="center"/>
              <w:rPr>
                <w:rFonts w:ascii="Arial Narrow" w:hAnsi="Arial Narrow"/>
                <w:b/>
                <w:i/>
                <w:iCs/>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9" w:type="pct"/>
            <w:shd w:val="clear" w:color="auto" w:fill="auto"/>
          </w:tcPr>
          <w:p w14:paraId="22E87A5E" w14:textId="518CCF93" w:rsidR="006B0FEE" w:rsidRPr="00FB0357" w:rsidRDefault="008830F2" w:rsidP="00AB5518">
            <w:pPr>
              <w:keepNext/>
              <w:keepLines/>
              <w:widowControl w:val="0"/>
              <w:spacing w:before="40" w:after="40" w:line="256" w:lineRule="auto"/>
              <w:jc w:val="center"/>
              <w:rPr>
                <w:rFonts w:ascii="Arial Narrow" w:hAnsi="Arial Narrow"/>
                <w:b/>
                <w:i/>
                <w:iCs/>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8" w:type="pct"/>
            <w:shd w:val="clear" w:color="auto" w:fill="auto"/>
          </w:tcPr>
          <w:p w14:paraId="4BAB383F" w14:textId="11CB7D39" w:rsidR="006B0FEE" w:rsidRPr="00FB0357" w:rsidRDefault="008830F2" w:rsidP="00AB5518">
            <w:pPr>
              <w:keepNext/>
              <w:keepLines/>
              <w:widowControl w:val="0"/>
              <w:spacing w:before="40" w:after="40" w:line="256" w:lineRule="auto"/>
              <w:jc w:val="center"/>
              <w:rPr>
                <w:rFonts w:ascii="Arial Narrow" w:hAnsi="Arial Narrow"/>
                <w:b/>
                <w:i/>
                <w:iCs/>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27" w:type="pct"/>
            <w:shd w:val="clear" w:color="auto" w:fill="auto"/>
          </w:tcPr>
          <w:p w14:paraId="0299A966" w14:textId="1307457A" w:rsidR="006B0FEE" w:rsidRPr="00FB0357" w:rsidRDefault="008830F2" w:rsidP="00AB5518">
            <w:pPr>
              <w:keepNext/>
              <w:keepLines/>
              <w:widowControl w:val="0"/>
              <w:spacing w:before="40" w:after="40" w:line="256" w:lineRule="auto"/>
              <w:jc w:val="center"/>
              <w:rPr>
                <w:rFonts w:ascii="Arial Narrow" w:hAnsi="Arial Narrow"/>
                <w:b/>
                <w:i/>
                <w:iCs/>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c>
          <w:tcPr>
            <w:tcW w:w="602" w:type="pct"/>
            <w:shd w:val="clear" w:color="auto" w:fill="auto"/>
          </w:tcPr>
          <w:p w14:paraId="5C045FBB" w14:textId="5B543D40" w:rsidR="006B0FEE" w:rsidRPr="00FB0357" w:rsidRDefault="008830F2" w:rsidP="00AB5518">
            <w:pPr>
              <w:keepNext/>
              <w:keepLines/>
              <w:widowControl w:val="0"/>
              <w:spacing w:before="40" w:after="40" w:line="256" w:lineRule="auto"/>
              <w:jc w:val="center"/>
              <w:rPr>
                <w:rFonts w:ascii="Arial Narrow" w:hAnsi="Arial Narrow"/>
                <w:b/>
                <w:i/>
                <w:iCs/>
                <w:sz w:val="20"/>
              </w:rPr>
            </w:pPr>
            <w:r w:rsidRPr="008830F2">
              <w:rPr>
                <w:rFonts w:ascii="Arial Narrow" w:hAnsi="Arial Narrow" w:cs="Arial"/>
                <w:b/>
                <w:bCs/>
                <w:sz w:val="20"/>
              </w:rPr>
              <w:t>$redacted</w:t>
            </w:r>
            <w:r>
              <w:rPr>
                <w:rFonts w:ascii="Arial Narrow" w:hAnsi="Arial Narrow" w:cs="Arial"/>
                <w:color w:val="000000"/>
                <w:sz w:val="20"/>
              </w:rPr>
              <w:t xml:space="preserve"> </w:t>
            </w:r>
            <w:r w:rsidR="009F1CE9">
              <w:rPr>
                <w:rFonts w:ascii="Arial Narrow" w:hAnsi="Arial Narrow" w:cs="Arial"/>
                <w:color w:val="000000"/>
                <w:sz w:val="20"/>
                <w:vertAlign w:val="superscript"/>
              </w:rPr>
              <w:t>3</w:t>
            </w:r>
          </w:p>
        </w:tc>
      </w:tr>
    </w:tbl>
    <w:p w14:paraId="6724B248" w14:textId="77777777" w:rsidR="006B0FEE" w:rsidRPr="00D3430D" w:rsidRDefault="006B0FEE" w:rsidP="006B0FEE">
      <w:pPr>
        <w:keepNext/>
        <w:keepLines/>
        <w:widowControl w:val="0"/>
        <w:spacing w:after="240"/>
        <w:contextualSpacing/>
        <w:rPr>
          <w:rFonts w:ascii="Arial Narrow" w:hAnsi="Arial Narrow" w:cs="Arial"/>
          <w:snapToGrid w:val="0"/>
          <w:sz w:val="18"/>
        </w:rPr>
      </w:pPr>
      <w:r w:rsidRPr="00D3430D">
        <w:rPr>
          <w:rFonts w:ascii="Arial Narrow" w:hAnsi="Arial Narrow" w:cs="Arial"/>
          <w:snapToGrid w:val="0"/>
          <w:sz w:val="18"/>
        </w:rPr>
        <w:t>Source: Table 4.2.5, p213; Table 4.2.6, p214; Table 4.5.4, p220 of the submission; worksheet ‘7. Net changes – MBS’ of the Excel workbook ‘Olaparib in mCRPC_Section_4_Workbook_Final’.</w:t>
      </w:r>
    </w:p>
    <w:p w14:paraId="7541A8CC" w14:textId="3D2BF2BF" w:rsidR="007C2DC0" w:rsidRDefault="006B0FEE" w:rsidP="007C2DC0">
      <w:pPr>
        <w:keepNext/>
        <w:keepLines/>
        <w:widowControl w:val="0"/>
        <w:contextualSpacing/>
        <w:rPr>
          <w:rFonts w:ascii="Arial Narrow" w:hAnsi="Arial Narrow" w:cs="Arial"/>
          <w:i/>
          <w:iCs/>
          <w:snapToGrid w:val="0"/>
          <w:sz w:val="18"/>
        </w:rPr>
      </w:pPr>
      <w:r w:rsidRPr="00D3430D">
        <w:rPr>
          <w:rFonts w:ascii="Arial Narrow" w:hAnsi="Arial Narrow" w:cs="Arial"/>
          <w:snapToGrid w:val="0"/>
          <w:sz w:val="18"/>
        </w:rPr>
        <w:t xml:space="preserve">* </w:t>
      </w:r>
      <w:r w:rsidRPr="00D3430D">
        <w:rPr>
          <w:rFonts w:ascii="Arial Narrow" w:hAnsi="Arial Narrow" w:cs="Arial"/>
          <w:i/>
          <w:iCs/>
          <w:snapToGrid w:val="0"/>
          <w:sz w:val="18"/>
        </w:rPr>
        <w:t>Added during the evaluation. The submission did not include cascade testing costs in the total MBS costs.</w:t>
      </w:r>
    </w:p>
    <w:p w14:paraId="6BA5C1DF" w14:textId="671016B9" w:rsidR="009F1CE9" w:rsidRPr="00C15BE1" w:rsidRDefault="009F1CE9" w:rsidP="009F1CE9">
      <w:pPr>
        <w:keepNext/>
        <w:snapToGrid w:val="0"/>
        <w:jc w:val="both"/>
        <w:rPr>
          <w:rFonts w:ascii="Arial Narrow" w:hAnsi="Arial Narrow" w:cs="Arial"/>
          <w:i/>
          <w:sz w:val="18"/>
          <w:szCs w:val="22"/>
        </w:rPr>
      </w:pPr>
      <w:r w:rsidRPr="00C15BE1">
        <w:rPr>
          <w:rFonts w:ascii="Arial Narrow" w:hAnsi="Arial Narrow" w:cs="Arial"/>
          <w:i/>
          <w:sz w:val="18"/>
          <w:szCs w:val="22"/>
        </w:rPr>
        <w:t>The redacted values correspond to the following ranges:</w:t>
      </w:r>
    </w:p>
    <w:p w14:paraId="6F449923" w14:textId="25D4F4EE" w:rsidR="009F1CE9" w:rsidRPr="00C15BE1" w:rsidRDefault="009F1CE9" w:rsidP="009F1CE9">
      <w:pPr>
        <w:keepNext/>
        <w:snapToGrid w:val="0"/>
        <w:jc w:val="both"/>
        <w:rPr>
          <w:rFonts w:ascii="Arial Narrow" w:hAnsi="Arial Narrow" w:cs="Arial"/>
          <w:i/>
          <w:sz w:val="18"/>
          <w:szCs w:val="22"/>
        </w:rPr>
      </w:pPr>
      <w:r w:rsidRPr="00C15BE1">
        <w:rPr>
          <w:rFonts w:ascii="Arial Narrow" w:hAnsi="Arial Narrow" w:cs="Arial"/>
          <w:i/>
          <w:sz w:val="18"/>
          <w:szCs w:val="22"/>
          <w:vertAlign w:val="superscript"/>
        </w:rPr>
        <w:t xml:space="preserve">1 </w:t>
      </w:r>
      <w:r w:rsidRPr="00AB12B2">
        <w:rPr>
          <w:rFonts w:ascii="Arial Narrow" w:hAnsi="Arial Narrow" w:cs="Arial"/>
          <w:i/>
          <w:sz w:val="18"/>
          <w:szCs w:val="22"/>
        </w:rPr>
        <w:t>500 to &lt; 5,000</w:t>
      </w:r>
    </w:p>
    <w:p w14:paraId="75C51DCF" w14:textId="498BCD2C" w:rsidR="009F1CE9" w:rsidRPr="00C15BE1" w:rsidRDefault="009F1CE9" w:rsidP="009F1CE9">
      <w:pPr>
        <w:keepNext/>
        <w:snapToGrid w:val="0"/>
        <w:jc w:val="both"/>
        <w:rPr>
          <w:rFonts w:ascii="Arial Narrow" w:hAnsi="Arial Narrow" w:cs="Arial"/>
          <w:i/>
          <w:sz w:val="18"/>
          <w:szCs w:val="22"/>
        </w:rPr>
      </w:pPr>
      <w:r w:rsidRPr="00C15BE1">
        <w:rPr>
          <w:rFonts w:ascii="Arial Narrow" w:hAnsi="Arial Narrow" w:cs="Arial"/>
          <w:i/>
          <w:sz w:val="18"/>
          <w:szCs w:val="22"/>
          <w:vertAlign w:val="superscript"/>
        </w:rPr>
        <w:t>2</w:t>
      </w:r>
      <w:r w:rsidRPr="00C15BE1">
        <w:rPr>
          <w:rFonts w:ascii="Arial Narrow" w:hAnsi="Arial Narrow" w:cs="Arial"/>
          <w:i/>
          <w:sz w:val="18"/>
          <w:szCs w:val="22"/>
        </w:rPr>
        <w:t xml:space="preserve"> 5,000 to &lt; 10,000</w:t>
      </w:r>
    </w:p>
    <w:p w14:paraId="134AFDC9" w14:textId="6E156F9B" w:rsidR="009F1CE9" w:rsidRPr="00C15BE1" w:rsidRDefault="009F1CE9" w:rsidP="009F1CE9">
      <w:pPr>
        <w:keepNext/>
        <w:snapToGrid w:val="0"/>
        <w:jc w:val="both"/>
        <w:rPr>
          <w:rFonts w:ascii="Arial Narrow" w:hAnsi="Arial Narrow" w:cs="Arial"/>
          <w:i/>
          <w:sz w:val="18"/>
          <w:szCs w:val="22"/>
        </w:rPr>
      </w:pPr>
      <w:r w:rsidRPr="00C15BE1">
        <w:rPr>
          <w:rFonts w:ascii="Arial Narrow" w:hAnsi="Arial Narrow" w:cs="Arial"/>
          <w:i/>
          <w:sz w:val="18"/>
          <w:szCs w:val="22"/>
          <w:vertAlign w:val="superscript"/>
        </w:rPr>
        <w:t xml:space="preserve">3 </w:t>
      </w:r>
      <w:r w:rsidRPr="00AB12B2">
        <w:rPr>
          <w:rFonts w:ascii="Arial Narrow" w:hAnsi="Arial Narrow" w:cs="Arial"/>
          <w:i/>
          <w:sz w:val="18"/>
          <w:szCs w:val="22"/>
        </w:rPr>
        <w:t>$0 to &lt; $10 million</w:t>
      </w:r>
    </w:p>
    <w:p w14:paraId="42680868" w14:textId="2E94EF4C" w:rsidR="006B0FEE" w:rsidRPr="007C2DC0" w:rsidRDefault="006B0FEE" w:rsidP="007C2DC0">
      <w:pPr>
        <w:keepNext/>
        <w:keepLines/>
        <w:widowControl w:val="0"/>
        <w:spacing w:before="240"/>
        <w:rPr>
          <w:rFonts w:ascii="Arial Narrow" w:hAnsi="Arial Narrow" w:cs="Arial"/>
          <w:i/>
          <w:iCs/>
          <w:snapToGrid w:val="0"/>
          <w:sz w:val="18"/>
        </w:rPr>
      </w:pPr>
      <w:r w:rsidRPr="007C2DC0">
        <w:rPr>
          <w:rFonts w:eastAsia="Calibri"/>
        </w:rPr>
        <w:t xml:space="preserve">The </w:t>
      </w:r>
      <w:r w:rsidR="00876076" w:rsidRPr="007C2DC0">
        <w:rPr>
          <w:rFonts w:eastAsia="Calibri"/>
        </w:rPr>
        <w:t xml:space="preserve">submission’s </w:t>
      </w:r>
      <w:r w:rsidRPr="007C2DC0">
        <w:rPr>
          <w:rFonts w:eastAsia="Calibri"/>
        </w:rPr>
        <w:t>estimated net cost to Government</w:t>
      </w:r>
      <w:r w:rsidR="00876076" w:rsidRPr="007C2DC0">
        <w:rPr>
          <w:rFonts w:eastAsia="Calibri"/>
        </w:rPr>
        <w:t xml:space="preserve">, </w:t>
      </w:r>
      <w:r w:rsidR="00ED734D" w:rsidRPr="007C2DC0">
        <w:rPr>
          <w:rFonts w:eastAsia="Calibri"/>
        </w:rPr>
        <w:t xml:space="preserve">together with </w:t>
      </w:r>
      <w:r w:rsidR="00876076" w:rsidRPr="007C2DC0">
        <w:rPr>
          <w:rFonts w:eastAsia="Calibri"/>
        </w:rPr>
        <w:t>the flow-on costs to the</w:t>
      </w:r>
      <w:r w:rsidR="00876076">
        <w:rPr>
          <w:rFonts w:eastAsia="Calibri"/>
          <w:iCs/>
          <w:szCs w:val="22"/>
          <w:lang w:eastAsia="en-US"/>
        </w:rPr>
        <w:t xml:space="preserve"> MBS of germline and cascade </w:t>
      </w:r>
      <w:r w:rsidR="00876076" w:rsidRPr="00115449">
        <w:rPr>
          <w:rFonts w:eastAsia="Calibri"/>
          <w:iCs/>
          <w:szCs w:val="22"/>
          <w:lang w:eastAsia="en-US"/>
        </w:rPr>
        <w:t>testing,</w:t>
      </w:r>
      <w:r w:rsidRPr="00115449">
        <w:rPr>
          <w:rFonts w:eastAsia="Calibri"/>
          <w:iCs/>
          <w:szCs w:val="22"/>
          <w:lang w:eastAsia="en-US"/>
        </w:rPr>
        <w:t xml:space="preserve"> </w:t>
      </w:r>
      <w:r w:rsidRPr="006658BB">
        <w:rPr>
          <w:rFonts w:eastAsia="Calibri"/>
          <w:iCs/>
          <w:szCs w:val="22"/>
          <w:lang w:eastAsia="en-US"/>
        </w:rPr>
        <w:t xml:space="preserve">was </w:t>
      </w:r>
      <w:r w:rsidR="00705D74" w:rsidRPr="006658BB">
        <w:rPr>
          <w:rFonts w:eastAsia="Calibri"/>
          <w:iCs/>
          <w:szCs w:val="22"/>
          <w:lang w:eastAsia="en-US"/>
        </w:rPr>
        <w:t>$</w:t>
      </w:r>
      <w:r w:rsidR="007F6E58" w:rsidRPr="006658BB">
        <w:rPr>
          <w:rFonts w:eastAsia="Calibri"/>
          <w:b/>
          <w:bCs/>
          <w:iCs/>
          <w:szCs w:val="22"/>
          <w:lang w:eastAsia="en-US"/>
        </w:rPr>
        <w:t>redacted</w:t>
      </w:r>
      <w:r w:rsidR="00705D74" w:rsidRPr="006658BB">
        <w:rPr>
          <w:rFonts w:eastAsia="Calibri"/>
          <w:iCs/>
          <w:szCs w:val="22"/>
          <w:lang w:eastAsia="en-US"/>
        </w:rPr>
        <w:t xml:space="preserve"> </w:t>
      </w:r>
      <w:r w:rsidRPr="006658BB">
        <w:rPr>
          <w:rFonts w:eastAsia="Calibri"/>
          <w:iCs/>
          <w:szCs w:val="22"/>
          <w:lang w:eastAsia="en-US"/>
        </w:rPr>
        <w:t>over the first 6 years of listing, and this was evenly split between PBS/RPBS costs ($</w:t>
      </w:r>
      <w:r w:rsidR="006658BB" w:rsidRPr="006658BB">
        <w:rPr>
          <w:rFonts w:eastAsia="Calibri"/>
          <w:b/>
          <w:bCs/>
          <w:iCs/>
          <w:szCs w:val="22"/>
          <w:lang w:eastAsia="en-US"/>
        </w:rPr>
        <w:t>redacted</w:t>
      </w:r>
      <w:r w:rsidRPr="006658BB">
        <w:rPr>
          <w:rFonts w:eastAsia="Calibri"/>
          <w:iCs/>
          <w:szCs w:val="22"/>
          <w:lang w:eastAsia="en-US"/>
        </w:rPr>
        <w:t>) and MBS costs ($</w:t>
      </w:r>
      <w:r w:rsidR="006658BB" w:rsidRPr="006658BB">
        <w:rPr>
          <w:rFonts w:eastAsia="Calibri"/>
          <w:b/>
          <w:bCs/>
          <w:iCs/>
          <w:szCs w:val="22"/>
          <w:lang w:eastAsia="en-US"/>
        </w:rPr>
        <w:t>redacted</w:t>
      </w:r>
      <w:r w:rsidRPr="006658BB">
        <w:rPr>
          <w:rFonts w:eastAsia="Calibri"/>
          <w:iCs/>
          <w:szCs w:val="22"/>
          <w:lang w:eastAsia="en-US"/>
        </w:rPr>
        <w:t xml:space="preserve">). The Commentary considered </w:t>
      </w:r>
      <w:r w:rsidR="00663ECB" w:rsidRPr="006658BB">
        <w:rPr>
          <w:rFonts w:eastAsia="Calibri"/>
          <w:iCs/>
          <w:szCs w:val="22"/>
          <w:lang w:eastAsia="en-US"/>
        </w:rPr>
        <w:t xml:space="preserve">that the basis of </w:t>
      </w:r>
      <w:r w:rsidRPr="006658BB">
        <w:rPr>
          <w:rFonts w:eastAsia="Calibri"/>
          <w:iCs/>
          <w:szCs w:val="22"/>
          <w:lang w:eastAsia="en-US"/>
        </w:rPr>
        <w:t>the</w:t>
      </w:r>
      <w:r w:rsidRPr="00115449">
        <w:rPr>
          <w:rFonts w:eastAsia="Calibri"/>
          <w:iCs/>
          <w:szCs w:val="22"/>
          <w:lang w:eastAsia="en-US"/>
        </w:rPr>
        <w:t xml:space="preserve"> submission’s estimate was uncertain, for the following reasons:</w:t>
      </w:r>
    </w:p>
    <w:p w14:paraId="2C17511A" w14:textId="77777777" w:rsidR="006B0FEE" w:rsidRPr="000121D3" w:rsidRDefault="006B0FEE" w:rsidP="006B0FEE">
      <w:pPr>
        <w:pStyle w:val="ListParagraph"/>
        <w:numPr>
          <w:ilvl w:val="0"/>
          <w:numId w:val="33"/>
        </w:numPr>
        <w:ind w:left="697" w:hanging="357"/>
        <w:contextualSpacing w:val="0"/>
        <w:rPr>
          <w:rFonts w:eastAsia="Calibri"/>
          <w:iCs/>
          <w:szCs w:val="22"/>
          <w:lang w:eastAsia="en-US"/>
        </w:rPr>
      </w:pPr>
      <w:r w:rsidRPr="000121D3">
        <w:rPr>
          <w:rFonts w:eastAsia="Calibri"/>
          <w:iCs/>
          <w:szCs w:val="22"/>
          <w:lang w:eastAsia="en-US"/>
        </w:rPr>
        <w:t>Patient numbers were not likely to be accurate, given use of a prevalent population that has not been accurately defined, likely overestimation of the CRPC population, and likely overestimation of the proportion of patients who have progressed or failed on NHA treatment.</w:t>
      </w:r>
    </w:p>
    <w:p w14:paraId="158F2BB0" w14:textId="43A65340" w:rsidR="006B0FEE" w:rsidRPr="000121D3" w:rsidRDefault="006B0FEE" w:rsidP="00332006">
      <w:pPr>
        <w:pStyle w:val="ListParagraph"/>
        <w:numPr>
          <w:ilvl w:val="0"/>
          <w:numId w:val="33"/>
        </w:numPr>
        <w:contextualSpacing w:val="0"/>
        <w:rPr>
          <w:rFonts w:eastAsia="Calibri"/>
          <w:iCs/>
          <w:szCs w:val="22"/>
          <w:lang w:eastAsia="en-US"/>
        </w:rPr>
      </w:pPr>
      <w:r w:rsidRPr="000121D3">
        <w:rPr>
          <w:rFonts w:eastAsia="Calibri"/>
          <w:iCs/>
          <w:szCs w:val="22"/>
          <w:lang w:eastAsia="en-US"/>
        </w:rPr>
        <w:t xml:space="preserve">Given the above, script numbers are also not likely to be accurate, and the accuracy of these was further impacted by the assumption that treatment will last for 227 days, which was sourced from the Cohort A + B population and therefore, potentially not representative of treatment duration in </w:t>
      </w:r>
      <w:r w:rsidRPr="000121D3">
        <w:rPr>
          <w:rFonts w:eastAsia="Calibri"/>
          <w:i/>
          <w:iCs/>
          <w:szCs w:val="22"/>
          <w:lang w:eastAsia="en-US"/>
        </w:rPr>
        <w:t>BRCA1/2</w:t>
      </w:r>
      <w:r w:rsidRPr="000121D3">
        <w:rPr>
          <w:rFonts w:eastAsia="Calibri"/>
          <w:iCs/>
          <w:szCs w:val="22"/>
          <w:lang w:eastAsia="en-US"/>
        </w:rPr>
        <w:t xml:space="preserve"> patients. The submission also assumed 95% compliance with treatment, but no source was provided for this compliance level. Further, the submission provided no explanation as to why a strategy of dose reduction was used (5% of patients had a dose reduction for the entire </w:t>
      </w:r>
      <w:r w:rsidRPr="000121D3">
        <w:rPr>
          <w:rFonts w:eastAsia="Calibri"/>
          <w:iCs/>
          <w:szCs w:val="22"/>
          <w:lang w:eastAsia="en-US"/>
        </w:rPr>
        <w:lastRenderedPageBreak/>
        <w:t>treatment period), when the economic model applied a dose intensity of 91.51%.</w:t>
      </w:r>
      <w:r w:rsidR="00332006">
        <w:rPr>
          <w:rFonts w:eastAsia="Calibri"/>
          <w:iCs/>
          <w:szCs w:val="22"/>
          <w:lang w:eastAsia="en-US"/>
        </w:rPr>
        <w:t xml:space="preserve"> </w:t>
      </w:r>
      <w:r w:rsidR="00332006" w:rsidRPr="00332006">
        <w:rPr>
          <w:rFonts w:eastAsia="Calibri"/>
          <w:iCs/>
          <w:szCs w:val="22"/>
          <w:lang w:eastAsia="en-US"/>
        </w:rPr>
        <w:t>This was revised in the pre-MSAC response.</w:t>
      </w:r>
    </w:p>
    <w:p w14:paraId="308BBF3A" w14:textId="77777777" w:rsidR="006B0FEE" w:rsidRPr="000121D3" w:rsidRDefault="006B0FEE" w:rsidP="006B0FEE">
      <w:pPr>
        <w:pStyle w:val="ListParagraph"/>
        <w:numPr>
          <w:ilvl w:val="0"/>
          <w:numId w:val="33"/>
        </w:numPr>
        <w:ind w:left="697" w:hanging="357"/>
        <w:contextualSpacing w:val="0"/>
        <w:rPr>
          <w:rFonts w:eastAsia="Calibri"/>
          <w:iCs/>
          <w:szCs w:val="22"/>
          <w:lang w:eastAsia="en-US"/>
        </w:rPr>
      </w:pPr>
      <w:r w:rsidRPr="000121D3">
        <w:rPr>
          <w:rFonts w:eastAsia="Calibri"/>
          <w:iCs/>
          <w:szCs w:val="22"/>
          <w:lang w:eastAsia="en-US"/>
        </w:rPr>
        <w:t>Estimated costs for testing were based on patient numbers, which as noted above are not likely to be accurate. Further, the submission appeared to not include the test cost for the 9% of patients who do not have a tissue sample available. This would underestimate the cost.</w:t>
      </w:r>
    </w:p>
    <w:p w14:paraId="6E5A9F67" w14:textId="332C8378" w:rsidR="006B0FEE" w:rsidRDefault="006B0FEE" w:rsidP="007C2DC0">
      <w:pPr>
        <w:spacing w:before="240"/>
        <w:rPr>
          <w:rFonts w:eastAsia="Calibri"/>
          <w:iCs/>
          <w:szCs w:val="22"/>
          <w:lang w:eastAsia="en-US"/>
        </w:rPr>
      </w:pPr>
      <w:r w:rsidRPr="00D3430D">
        <w:rPr>
          <w:rFonts w:eastAsia="Calibri"/>
          <w:iCs/>
          <w:szCs w:val="22"/>
          <w:lang w:eastAsia="en-US"/>
        </w:rPr>
        <w:t xml:space="preserve">Furthermore, the Commentary highlighted that the submission did not acknowledge the differential distribution of germline and somatic </w:t>
      </w:r>
      <w:r w:rsidRPr="00D3430D">
        <w:rPr>
          <w:rFonts w:eastAsia="Calibri"/>
          <w:i/>
          <w:iCs/>
          <w:szCs w:val="22"/>
          <w:lang w:eastAsia="en-US"/>
        </w:rPr>
        <w:t>BRCA1/2</w:t>
      </w:r>
      <w:r w:rsidRPr="00D3430D">
        <w:rPr>
          <w:rFonts w:eastAsia="Calibri"/>
          <w:iCs/>
          <w:szCs w:val="22"/>
          <w:lang w:eastAsia="en-US"/>
        </w:rPr>
        <w:t xml:space="preserve"> pathogenic </w:t>
      </w:r>
      <w:r w:rsidR="00E370C0">
        <w:rPr>
          <w:rFonts w:eastAsia="Calibri"/>
          <w:iCs/>
          <w:szCs w:val="22"/>
          <w:lang w:eastAsia="en-US"/>
        </w:rPr>
        <w:t xml:space="preserve">gene </w:t>
      </w:r>
      <w:r w:rsidRPr="00D3430D">
        <w:rPr>
          <w:rFonts w:eastAsia="Calibri"/>
          <w:iCs/>
          <w:szCs w:val="22"/>
          <w:lang w:eastAsia="en-US"/>
        </w:rPr>
        <w:t xml:space="preserve">variants in </w:t>
      </w:r>
      <w:proofErr w:type="spellStart"/>
      <w:r w:rsidRPr="00D3430D">
        <w:rPr>
          <w:rFonts w:eastAsia="Calibri"/>
          <w:iCs/>
          <w:szCs w:val="22"/>
          <w:lang w:eastAsia="en-US"/>
        </w:rPr>
        <w:t>mCRPC</w:t>
      </w:r>
      <w:proofErr w:type="spellEnd"/>
      <w:r w:rsidRPr="00D3430D">
        <w:rPr>
          <w:rFonts w:eastAsia="Calibri"/>
          <w:iCs/>
          <w:szCs w:val="22"/>
          <w:lang w:eastAsia="en-US"/>
        </w:rPr>
        <w:t xml:space="preserve">, and the potential for germline testing alone to miss out patients with somatic </w:t>
      </w:r>
      <w:r w:rsidR="00AD3D5C">
        <w:rPr>
          <w:rFonts w:eastAsia="Calibri"/>
          <w:iCs/>
          <w:szCs w:val="22"/>
          <w:lang w:eastAsia="en-US"/>
        </w:rPr>
        <w:t>variants</w:t>
      </w:r>
      <w:r w:rsidRPr="00D3430D">
        <w:rPr>
          <w:rFonts w:eastAsia="Calibri"/>
          <w:iCs/>
          <w:szCs w:val="22"/>
          <w:lang w:eastAsia="en-US"/>
        </w:rPr>
        <w:t xml:space="preserve">. Therefore, the need for re-biopsy and somatic testing in some patients with inadequate tissue samples may be considered. In addition, some patients might already know their </w:t>
      </w:r>
      <w:r w:rsidRPr="00D3430D">
        <w:rPr>
          <w:rFonts w:eastAsia="Calibri"/>
          <w:i/>
          <w:iCs/>
          <w:szCs w:val="22"/>
          <w:lang w:eastAsia="en-US"/>
        </w:rPr>
        <w:t>BRCA1/2</w:t>
      </w:r>
      <w:r w:rsidRPr="00D3430D">
        <w:rPr>
          <w:rFonts w:eastAsia="Calibri"/>
          <w:iCs/>
          <w:szCs w:val="22"/>
          <w:lang w:eastAsia="en-US"/>
        </w:rPr>
        <w:t xml:space="preserve"> status through germline testing and may not require further testing.</w:t>
      </w:r>
    </w:p>
    <w:p w14:paraId="56D97969" w14:textId="41015D3D" w:rsidR="006B0FEE" w:rsidRPr="00D3430D" w:rsidRDefault="006B0FEE" w:rsidP="007C2DC0">
      <w:pPr>
        <w:spacing w:before="240"/>
        <w:rPr>
          <w:rFonts w:eastAsia="Calibri"/>
          <w:szCs w:val="22"/>
          <w:lang w:eastAsia="en-US"/>
        </w:rPr>
      </w:pPr>
      <w:r w:rsidRPr="00D3430D">
        <w:rPr>
          <w:rFonts w:eastAsia="Calibri"/>
          <w:szCs w:val="22"/>
          <w:lang w:eastAsia="en-US"/>
        </w:rPr>
        <w:t xml:space="preserve">As discussed in Section 6 above, the Commentary considered it may be more appropriate to consider germline </w:t>
      </w:r>
      <w:r w:rsidRPr="00AD358F">
        <w:rPr>
          <w:rFonts w:eastAsia="Calibri"/>
          <w:i/>
          <w:szCs w:val="22"/>
          <w:lang w:eastAsia="en-US"/>
        </w:rPr>
        <w:t>BRCA</w:t>
      </w:r>
      <w:r w:rsidRPr="00D3430D">
        <w:rPr>
          <w:rFonts w:eastAsia="Calibri"/>
          <w:szCs w:val="22"/>
          <w:lang w:eastAsia="en-US"/>
        </w:rPr>
        <w:t xml:space="preserve"> results prior to tumour testing given germline testing is increasingly been recommended in guidelines for metastatic prostate cancer. Some patients may already know their </w:t>
      </w:r>
      <w:r w:rsidRPr="00AD358F">
        <w:rPr>
          <w:rFonts w:eastAsia="Calibri"/>
          <w:i/>
          <w:szCs w:val="22"/>
          <w:lang w:eastAsia="en-US"/>
        </w:rPr>
        <w:t>BRCA</w:t>
      </w:r>
      <w:r w:rsidRPr="00D3430D">
        <w:rPr>
          <w:rFonts w:eastAsia="Calibri"/>
          <w:szCs w:val="22"/>
          <w:lang w:eastAsia="en-US"/>
        </w:rPr>
        <w:t xml:space="preserve"> status through cascade testing of germline pathogenic </w:t>
      </w:r>
      <w:r w:rsidR="00E370C0">
        <w:rPr>
          <w:rFonts w:eastAsia="Calibri"/>
          <w:szCs w:val="22"/>
          <w:lang w:eastAsia="en-US"/>
        </w:rPr>
        <w:t xml:space="preserve">gene </w:t>
      </w:r>
      <w:r w:rsidRPr="00D3430D">
        <w:rPr>
          <w:rFonts w:eastAsia="Calibri"/>
          <w:szCs w:val="22"/>
          <w:lang w:eastAsia="en-US"/>
        </w:rPr>
        <w:t>variants associated with other familial cancers and thus would require no further testing for olaparib eligibility.</w:t>
      </w:r>
    </w:p>
    <w:p w14:paraId="38A258E7" w14:textId="5ECB64A0" w:rsidR="006B0FEE" w:rsidRPr="00D3430D" w:rsidRDefault="006B0FEE" w:rsidP="007C2DC0">
      <w:pPr>
        <w:spacing w:before="240"/>
        <w:rPr>
          <w:rFonts w:eastAsia="Calibri"/>
          <w:i/>
          <w:iCs/>
          <w:szCs w:val="22"/>
          <w:lang w:eastAsia="en-US"/>
        </w:rPr>
      </w:pPr>
      <w:r w:rsidRPr="00D3430D">
        <w:rPr>
          <w:rFonts w:eastAsia="Calibri"/>
          <w:szCs w:val="22"/>
          <w:lang w:eastAsia="en-US"/>
        </w:rPr>
        <w:t xml:space="preserve">The submission indicated that there will be three MBS items that will be impacted: </w:t>
      </w:r>
      <w:proofErr w:type="spellStart"/>
      <w:r w:rsidRPr="00D3430D">
        <w:rPr>
          <w:rFonts w:eastAsia="Calibri"/>
          <w:szCs w:val="22"/>
          <w:lang w:eastAsia="en-US"/>
        </w:rPr>
        <w:t>i</w:t>
      </w:r>
      <w:proofErr w:type="spellEnd"/>
      <w:r w:rsidRPr="00D3430D">
        <w:rPr>
          <w:rFonts w:eastAsia="Calibri"/>
          <w:szCs w:val="22"/>
          <w:lang w:eastAsia="en-US"/>
        </w:rPr>
        <w:t xml:space="preserve">) a new item for tumour testing to detect pathogenic or likely pathogenic </w:t>
      </w:r>
      <w:r w:rsidRPr="00D3430D">
        <w:rPr>
          <w:rFonts w:eastAsia="Calibri"/>
          <w:i/>
          <w:iCs/>
          <w:szCs w:val="22"/>
          <w:lang w:eastAsia="en-US"/>
        </w:rPr>
        <w:t>BRCA1/2</w:t>
      </w:r>
      <w:r w:rsidRPr="00D3430D">
        <w:rPr>
          <w:rFonts w:eastAsia="Calibri"/>
          <w:szCs w:val="22"/>
          <w:lang w:eastAsia="en-US"/>
        </w:rPr>
        <w:t xml:space="preserve"> gene variants, or an amendment to MBS item 73301; ii) a new MBS item for germline testing when tumour testing is not feasible or successful, or an amendment to MBS item 73295; and iii) a sample retrieval fee (MBS item 72860).</w:t>
      </w:r>
    </w:p>
    <w:p w14:paraId="7DFA9FC1" w14:textId="4DE9259D" w:rsidR="006B0FEE" w:rsidRPr="00D3430D" w:rsidRDefault="006B0FEE" w:rsidP="007C2DC0">
      <w:pPr>
        <w:spacing w:before="240"/>
        <w:rPr>
          <w:rFonts w:eastAsia="Calibri"/>
          <w:iCs/>
          <w:szCs w:val="22"/>
          <w:lang w:eastAsia="en-US"/>
        </w:rPr>
      </w:pPr>
      <w:r w:rsidRPr="00D3430D">
        <w:rPr>
          <w:rFonts w:eastAsia="Calibri"/>
          <w:iCs/>
          <w:szCs w:val="22"/>
          <w:lang w:eastAsia="en-US"/>
        </w:rPr>
        <w:t xml:space="preserve">Although the submission conducted a sensitivity analysis to account for cascade germline testing in patients with a positive tumour test (MBS item 73302) and family members (MBS item 73297), cascade testing costs were not added to the total MBS costs (included in </w:t>
      </w:r>
      <w:r w:rsidRPr="00D3430D">
        <w:rPr>
          <w:rFonts w:eastAsia="Calibri"/>
          <w:iCs/>
          <w:szCs w:val="22"/>
          <w:lang w:eastAsia="en-US"/>
        </w:rPr>
        <w:fldChar w:fldCharType="begin"/>
      </w:r>
      <w:r w:rsidRPr="00D3430D">
        <w:rPr>
          <w:rFonts w:eastAsia="Calibri"/>
          <w:iCs/>
          <w:szCs w:val="22"/>
          <w:lang w:eastAsia="en-US"/>
        </w:rPr>
        <w:instrText xml:space="preserve"> REF _Ref62208305 \h  \* MERGEFORMAT </w:instrText>
      </w:r>
      <w:r w:rsidRPr="00D3430D">
        <w:rPr>
          <w:rFonts w:eastAsia="Calibri"/>
          <w:iCs/>
          <w:szCs w:val="22"/>
          <w:lang w:eastAsia="en-US"/>
        </w:rPr>
      </w:r>
      <w:r w:rsidRPr="00D3430D">
        <w:rPr>
          <w:rFonts w:eastAsia="Calibri"/>
          <w:iCs/>
          <w:szCs w:val="22"/>
          <w:lang w:eastAsia="en-US"/>
        </w:rPr>
        <w:fldChar w:fldCharType="separate"/>
      </w:r>
      <w:r w:rsidR="006C2E0B" w:rsidRPr="006C2E0B">
        <w:rPr>
          <w:rFonts w:eastAsia="Calibri"/>
          <w:szCs w:val="22"/>
          <w:lang w:eastAsia="en-US"/>
        </w:rPr>
        <w:t>Table 8</w:t>
      </w:r>
      <w:r w:rsidRPr="00D3430D">
        <w:rPr>
          <w:rFonts w:eastAsia="Calibri"/>
          <w:iCs/>
          <w:szCs w:val="22"/>
          <w:lang w:eastAsia="en-US"/>
        </w:rPr>
        <w:fldChar w:fldCharType="end"/>
      </w:r>
      <w:r w:rsidRPr="00D3430D">
        <w:rPr>
          <w:rFonts w:eastAsia="Calibri"/>
          <w:iCs/>
          <w:szCs w:val="22"/>
          <w:lang w:eastAsia="en-US"/>
        </w:rPr>
        <w:t xml:space="preserve"> during the evaluation).</w:t>
      </w:r>
    </w:p>
    <w:p w14:paraId="42E79ACC" w14:textId="1EEC7D91" w:rsidR="006B0FEE" w:rsidRPr="00D3430D" w:rsidRDefault="006B0FEE" w:rsidP="007C2DC0">
      <w:pPr>
        <w:spacing w:before="240"/>
        <w:rPr>
          <w:rFonts w:eastAsia="Calibri"/>
          <w:iCs/>
          <w:szCs w:val="22"/>
          <w:lang w:eastAsia="en-US"/>
        </w:rPr>
      </w:pPr>
      <w:r w:rsidRPr="00D3430D">
        <w:rPr>
          <w:rFonts w:eastAsia="Calibri"/>
          <w:szCs w:val="22"/>
          <w:lang w:eastAsia="en-US"/>
        </w:rPr>
        <w:t xml:space="preserve">The submission’s estimates for MBS item 73297 imply that two family members of a patient with a positive germline test will receive testing. </w:t>
      </w:r>
      <w:r w:rsidRPr="00D3430D">
        <w:rPr>
          <w:rFonts w:eastAsia="Calibri"/>
          <w:iCs/>
          <w:szCs w:val="22"/>
          <w:lang w:eastAsia="en-US"/>
        </w:rPr>
        <w:t xml:space="preserve">The submission provided no discussion around why it was assumed that only two family members will be tested, and the limitation of testing to only two family members may underestimate costs. In the PSD of MSAC Application 1411 (p8), two scenarios were assumed where genetic counselling in family members of patients with breast and/or ovarian cancer occurred at a ratio of 1 proband to 6 family members (1:6) and 1 proband to 3 family </w:t>
      </w:r>
      <w:r w:rsidRPr="007C6078">
        <w:rPr>
          <w:rFonts w:eastAsia="Calibri"/>
          <w:szCs w:val="22"/>
          <w:lang w:eastAsia="en-US"/>
        </w:rPr>
        <w:t>members</w:t>
      </w:r>
      <w:r w:rsidRPr="00D3430D">
        <w:rPr>
          <w:rFonts w:eastAsia="Calibri"/>
          <w:iCs/>
          <w:szCs w:val="22"/>
          <w:lang w:eastAsia="en-US"/>
        </w:rPr>
        <w:t xml:space="preserve"> (1:3).</w:t>
      </w:r>
    </w:p>
    <w:p w14:paraId="470CC091" w14:textId="2D8973F8" w:rsidR="007C2DC0" w:rsidRDefault="006B0FEE" w:rsidP="007C2DC0">
      <w:pPr>
        <w:spacing w:before="240"/>
        <w:rPr>
          <w:rFonts w:eastAsia="Calibri"/>
          <w:iCs/>
          <w:szCs w:val="22"/>
          <w:lang w:eastAsia="en-US"/>
        </w:rPr>
      </w:pPr>
      <w:r w:rsidRPr="00D3430D">
        <w:rPr>
          <w:rFonts w:eastAsia="Calibri"/>
          <w:iCs/>
          <w:szCs w:val="22"/>
          <w:lang w:eastAsia="en-US"/>
        </w:rPr>
        <w:t xml:space="preserve">The Commentary considered the results should be </w:t>
      </w:r>
      <w:r w:rsidRPr="007C6078">
        <w:rPr>
          <w:rFonts w:eastAsia="Calibri"/>
          <w:szCs w:val="22"/>
          <w:lang w:eastAsia="en-US"/>
        </w:rPr>
        <w:t>interpreted</w:t>
      </w:r>
      <w:r w:rsidRPr="00D3430D">
        <w:rPr>
          <w:rFonts w:eastAsia="Calibri"/>
          <w:iCs/>
          <w:szCs w:val="22"/>
          <w:lang w:eastAsia="en-US"/>
        </w:rPr>
        <w:t xml:space="preserve"> with caution given the likely inaccuracy of the estimated patient and test numbers.</w:t>
      </w:r>
      <w:r w:rsidR="007C2DC0">
        <w:rPr>
          <w:rFonts w:eastAsia="Calibri"/>
          <w:iCs/>
          <w:szCs w:val="22"/>
          <w:lang w:eastAsia="en-US"/>
        </w:rPr>
        <w:br w:type="page"/>
      </w:r>
    </w:p>
    <w:p w14:paraId="7EDF31E4" w14:textId="75310217" w:rsidR="006A0D97" w:rsidRPr="00F715D1" w:rsidRDefault="006A0D97" w:rsidP="00F715D1">
      <w:pPr>
        <w:pStyle w:val="Heading1"/>
      </w:pPr>
      <w:r w:rsidRPr="00F715D1">
        <w:lastRenderedPageBreak/>
        <w:t>Key issues from ESC</w:t>
      </w:r>
      <w:r w:rsidR="00663ECB">
        <w:t>s</w:t>
      </w:r>
      <w:r w:rsidRPr="00F715D1">
        <w:t xml:space="preserve"> for MSAC</w:t>
      </w:r>
    </w:p>
    <w:tbl>
      <w:tblPr>
        <w:tblStyle w:val="TableGrid11"/>
        <w:tblW w:w="0" w:type="auto"/>
        <w:tblLook w:val="04A0" w:firstRow="1" w:lastRow="0" w:firstColumn="1" w:lastColumn="0" w:noHBand="0" w:noVBand="1"/>
        <w:tblDescription w:val="Key issues from ESC for MSAC consideration"/>
      </w:tblPr>
      <w:tblGrid>
        <w:gridCol w:w="1838"/>
        <w:gridCol w:w="7178"/>
      </w:tblGrid>
      <w:tr w:rsidR="002F1810" w:rsidRPr="002F1810" w14:paraId="5FD9E926" w14:textId="77777777" w:rsidTr="00360CB8">
        <w:trPr>
          <w:cantSplit/>
          <w:tblHeader/>
        </w:trPr>
        <w:tc>
          <w:tcPr>
            <w:tcW w:w="1838" w:type="dxa"/>
          </w:tcPr>
          <w:p w14:paraId="5389F3D5" w14:textId="77777777" w:rsidR="002F1810" w:rsidRPr="002F1810" w:rsidRDefault="002F1810" w:rsidP="002F1810">
            <w:pPr>
              <w:spacing w:before="60" w:after="60"/>
              <w:rPr>
                <w:b/>
                <w:bCs/>
                <w:color w:val="000000"/>
                <w:sz w:val="21"/>
                <w:szCs w:val="21"/>
              </w:rPr>
            </w:pPr>
            <w:r w:rsidRPr="002F1810">
              <w:rPr>
                <w:b/>
                <w:bCs/>
                <w:color w:val="000000"/>
                <w:sz w:val="21"/>
                <w:szCs w:val="21"/>
              </w:rPr>
              <w:t>ESCs key issue</w:t>
            </w:r>
          </w:p>
        </w:tc>
        <w:tc>
          <w:tcPr>
            <w:tcW w:w="7178" w:type="dxa"/>
          </w:tcPr>
          <w:p w14:paraId="6E5C23E5" w14:textId="77777777" w:rsidR="002F1810" w:rsidRPr="002F1810" w:rsidRDefault="002F1810" w:rsidP="002F1810">
            <w:pPr>
              <w:spacing w:before="60" w:after="60"/>
              <w:rPr>
                <w:b/>
                <w:bCs/>
                <w:color w:val="000000"/>
                <w:sz w:val="21"/>
                <w:szCs w:val="21"/>
              </w:rPr>
            </w:pPr>
            <w:r w:rsidRPr="002F1810">
              <w:rPr>
                <w:b/>
                <w:bCs/>
                <w:color w:val="000000"/>
                <w:sz w:val="21"/>
                <w:szCs w:val="21"/>
              </w:rPr>
              <w:t>ESCs advice to MSAC</w:t>
            </w:r>
          </w:p>
        </w:tc>
      </w:tr>
      <w:tr w:rsidR="002F1810" w:rsidRPr="002F1810" w14:paraId="307B7CCD" w14:textId="77777777" w:rsidTr="00AB5518">
        <w:trPr>
          <w:cantSplit/>
        </w:trPr>
        <w:tc>
          <w:tcPr>
            <w:tcW w:w="1838" w:type="dxa"/>
            <w:shd w:val="clear" w:color="auto" w:fill="auto"/>
          </w:tcPr>
          <w:p w14:paraId="45D23271" w14:textId="77777777" w:rsidR="002F1810" w:rsidRPr="002F1810" w:rsidRDefault="002F1810" w:rsidP="002F1810">
            <w:pPr>
              <w:spacing w:before="60" w:after="60"/>
              <w:rPr>
                <w:color w:val="000000"/>
                <w:sz w:val="21"/>
                <w:szCs w:val="21"/>
              </w:rPr>
            </w:pPr>
            <w:r w:rsidRPr="002F1810">
              <w:rPr>
                <w:color w:val="000000"/>
                <w:sz w:val="21"/>
                <w:szCs w:val="21"/>
              </w:rPr>
              <w:t xml:space="preserve">Clinical utility of </w:t>
            </w:r>
            <w:r w:rsidRPr="002F1810">
              <w:rPr>
                <w:i/>
                <w:color w:val="000000"/>
                <w:sz w:val="21"/>
                <w:szCs w:val="21"/>
              </w:rPr>
              <w:t>BRCA1/2</w:t>
            </w:r>
            <w:r w:rsidRPr="002F1810">
              <w:rPr>
                <w:color w:val="000000"/>
                <w:sz w:val="21"/>
                <w:szCs w:val="21"/>
              </w:rPr>
              <w:t xml:space="preserve"> testing </w:t>
            </w:r>
          </w:p>
        </w:tc>
        <w:tc>
          <w:tcPr>
            <w:tcW w:w="7178" w:type="dxa"/>
            <w:shd w:val="clear" w:color="auto" w:fill="auto"/>
          </w:tcPr>
          <w:p w14:paraId="2BE5F883" w14:textId="00280172" w:rsidR="002F1810" w:rsidRPr="002F1810" w:rsidRDefault="002F1810" w:rsidP="009368C9">
            <w:pPr>
              <w:spacing w:before="60" w:after="60"/>
              <w:rPr>
                <w:color w:val="000000"/>
                <w:sz w:val="21"/>
                <w:szCs w:val="21"/>
              </w:rPr>
            </w:pPr>
            <w:r w:rsidRPr="002F1810">
              <w:rPr>
                <w:color w:val="000000"/>
                <w:sz w:val="21"/>
                <w:szCs w:val="21"/>
              </w:rPr>
              <w:t xml:space="preserve">The ESCs concluded that there was sufficient indirect evidence to support the clinical utility of </w:t>
            </w:r>
            <w:r w:rsidRPr="002F1810">
              <w:rPr>
                <w:i/>
                <w:color w:val="000000"/>
                <w:sz w:val="21"/>
                <w:szCs w:val="21"/>
              </w:rPr>
              <w:t>BRCA1/2</w:t>
            </w:r>
            <w:r w:rsidRPr="002F1810">
              <w:rPr>
                <w:color w:val="000000"/>
                <w:sz w:val="21"/>
                <w:szCs w:val="21"/>
              </w:rPr>
              <w:t xml:space="preserve"> testing in the proposed population. The ESCs considered the </w:t>
            </w:r>
            <w:proofErr w:type="spellStart"/>
            <w:r w:rsidRPr="002F1810">
              <w:rPr>
                <w:color w:val="000000"/>
                <w:sz w:val="21"/>
                <w:szCs w:val="21"/>
              </w:rPr>
              <w:t>PROfound</w:t>
            </w:r>
            <w:proofErr w:type="spellEnd"/>
            <w:r w:rsidRPr="002F1810">
              <w:rPr>
                <w:color w:val="000000"/>
                <w:sz w:val="21"/>
                <w:szCs w:val="21"/>
              </w:rPr>
              <w:t xml:space="preserve"> trial reported a clinically meaningful improvement in overall survival for the </w:t>
            </w:r>
            <w:r w:rsidRPr="002F1810">
              <w:rPr>
                <w:i/>
                <w:color w:val="000000"/>
                <w:sz w:val="21"/>
                <w:szCs w:val="21"/>
              </w:rPr>
              <w:t>BRCA1/2</w:t>
            </w:r>
            <w:r w:rsidRPr="002F1810">
              <w:rPr>
                <w:color w:val="000000"/>
                <w:sz w:val="21"/>
                <w:szCs w:val="21"/>
              </w:rPr>
              <w:t xml:space="preserve"> subgroup that was not seen for other pathogenic variants of other homologous recombination repair (HRR) genes. Additionally, the ESCs noted that the Phase II TOPAR</w:t>
            </w:r>
            <w:r w:rsidR="009368C9">
              <w:rPr>
                <w:color w:val="000000"/>
                <w:sz w:val="21"/>
                <w:szCs w:val="21"/>
              </w:rPr>
              <w:t>P</w:t>
            </w:r>
            <w:r w:rsidRPr="002F1810">
              <w:rPr>
                <w:color w:val="000000"/>
                <w:sz w:val="21"/>
                <w:szCs w:val="21"/>
              </w:rPr>
              <w:t xml:space="preserve">-B </w:t>
            </w:r>
            <w:r w:rsidR="009368C9">
              <w:rPr>
                <w:color w:val="000000"/>
                <w:sz w:val="21"/>
                <w:szCs w:val="21"/>
              </w:rPr>
              <w:t>trial</w:t>
            </w:r>
            <w:r w:rsidRPr="002F1810">
              <w:rPr>
                <w:color w:val="000000"/>
                <w:sz w:val="21"/>
                <w:szCs w:val="21"/>
              </w:rPr>
              <w:t xml:space="preserve"> of olaparib also showed a greater response in the </w:t>
            </w:r>
            <w:r w:rsidRPr="002F1810">
              <w:rPr>
                <w:i/>
                <w:color w:val="000000"/>
                <w:sz w:val="21"/>
                <w:szCs w:val="21"/>
              </w:rPr>
              <w:t>BRCA1/2</w:t>
            </w:r>
            <w:r w:rsidRPr="002F1810">
              <w:rPr>
                <w:color w:val="000000"/>
                <w:sz w:val="21"/>
                <w:szCs w:val="21"/>
              </w:rPr>
              <w:t xml:space="preserve"> subgroup than other genetic variants. The ESCs noted that, although there was no direct evidence of clinical utility, the evidence suggested olaparib was not as effective in non-</w:t>
            </w:r>
            <w:r w:rsidRPr="002F1810">
              <w:rPr>
                <w:i/>
                <w:color w:val="000000"/>
                <w:sz w:val="21"/>
                <w:szCs w:val="21"/>
              </w:rPr>
              <w:t>BRCA</w:t>
            </w:r>
            <w:r w:rsidRPr="002F1810">
              <w:rPr>
                <w:color w:val="000000"/>
                <w:sz w:val="21"/>
                <w:szCs w:val="21"/>
              </w:rPr>
              <w:t xml:space="preserve"> HRR genetic variants.</w:t>
            </w:r>
          </w:p>
        </w:tc>
      </w:tr>
      <w:tr w:rsidR="002F1810" w:rsidRPr="002F1810" w14:paraId="1B686F84" w14:textId="77777777" w:rsidTr="00AB5518">
        <w:trPr>
          <w:cantSplit/>
        </w:trPr>
        <w:tc>
          <w:tcPr>
            <w:tcW w:w="1838" w:type="dxa"/>
            <w:shd w:val="clear" w:color="auto" w:fill="auto"/>
          </w:tcPr>
          <w:p w14:paraId="0C6F9BB1" w14:textId="77777777" w:rsidR="002F1810" w:rsidRPr="002F1810" w:rsidRDefault="002F1810" w:rsidP="002F1810">
            <w:pPr>
              <w:spacing w:before="60" w:after="60"/>
              <w:rPr>
                <w:color w:val="000000"/>
                <w:sz w:val="21"/>
                <w:szCs w:val="21"/>
              </w:rPr>
            </w:pPr>
            <w:r w:rsidRPr="002F1810">
              <w:rPr>
                <w:color w:val="000000"/>
                <w:sz w:val="21"/>
                <w:szCs w:val="21"/>
              </w:rPr>
              <w:t xml:space="preserve">Implementation of </w:t>
            </w:r>
            <w:r w:rsidRPr="002F1810">
              <w:rPr>
                <w:i/>
                <w:color w:val="000000"/>
                <w:sz w:val="21"/>
                <w:szCs w:val="21"/>
              </w:rPr>
              <w:t>BRCA1/2</w:t>
            </w:r>
            <w:r w:rsidRPr="002F1810">
              <w:rPr>
                <w:color w:val="000000"/>
                <w:sz w:val="21"/>
                <w:szCs w:val="21"/>
              </w:rPr>
              <w:t xml:space="preserve"> testing</w:t>
            </w:r>
          </w:p>
        </w:tc>
        <w:tc>
          <w:tcPr>
            <w:tcW w:w="7178" w:type="dxa"/>
            <w:shd w:val="clear" w:color="auto" w:fill="auto"/>
          </w:tcPr>
          <w:p w14:paraId="30B49943" w14:textId="77777777" w:rsidR="002F1810" w:rsidRPr="002F1810" w:rsidRDefault="002F1810" w:rsidP="002F1810">
            <w:pPr>
              <w:rPr>
                <w:color w:val="000000"/>
                <w:sz w:val="21"/>
                <w:szCs w:val="21"/>
              </w:rPr>
            </w:pPr>
            <w:r w:rsidRPr="002F1810">
              <w:rPr>
                <w:color w:val="000000"/>
                <w:sz w:val="21"/>
                <w:szCs w:val="21"/>
              </w:rPr>
              <w:t xml:space="preserve">The ESCs considered that pathology providers will be able to implement </w:t>
            </w:r>
            <w:r w:rsidRPr="002F1810">
              <w:rPr>
                <w:i/>
                <w:color w:val="000000"/>
                <w:sz w:val="21"/>
                <w:szCs w:val="21"/>
              </w:rPr>
              <w:t>BRCA1/2</w:t>
            </w:r>
            <w:r w:rsidRPr="002F1810">
              <w:rPr>
                <w:color w:val="000000"/>
                <w:sz w:val="21"/>
                <w:szCs w:val="21"/>
              </w:rPr>
              <w:t xml:space="preserve"> testing as it is similar to somatic </w:t>
            </w:r>
            <w:r w:rsidRPr="002F1810">
              <w:rPr>
                <w:i/>
                <w:color w:val="000000"/>
                <w:sz w:val="21"/>
                <w:szCs w:val="21"/>
              </w:rPr>
              <w:t>BRCA1/2</w:t>
            </w:r>
            <w:r w:rsidRPr="002F1810">
              <w:rPr>
                <w:color w:val="000000"/>
                <w:sz w:val="21"/>
                <w:szCs w:val="21"/>
              </w:rPr>
              <w:t xml:space="preserve"> testing already MBS-listed for high-grade epithelial ovarian, fallopian tube or primary peritoneal cancer.</w:t>
            </w:r>
          </w:p>
        </w:tc>
      </w:tr>
      <w:tr w:rsidR="002F1810" w:rsidRPr="002F1810" w14:paraId="5D591F57" w14:textId="77777777" w:rsidTr="00AB5518">
        <w:trPr>
          <w:cantSplit/>
        </w:trPr>
        <w:tc>
          <w:tcPr>
            <w:tcW w:w="1838" w:type="dxa"/>
            <w:shd w:val="clear" w:color="auto" w:fill="auto"/>
          </w:tcPr>
          <w:p w14:paraId="108ADC12" w14:textId="77777777" w:rsidR="002F1810" w:rsidRPr="002F1810" w:rsidRDefault="002F1810" w:rsidP="002F1810">
            <w:pPr>
              <w:spacing w:before="60" w:after="60"/>
              <w:rPr>
                <w:color w:val="000000"/>
                <w:sz w:val="21"/>
                <w:szCs w:val="21"/>
              </w:rPr>
            </w:pPr>
            <w:r w:rsidRPr="002F1810">
              <w:rPr>
                <w:color w:val="000000"/>
                <w:sz w:val="21"/>
                <w:szCs w:val="21"/>
              </w:rPr>
              <w:t>Subsequent germline and cascade testing</w:t>
            </w:r>
          </w:p>
        </w:tc>
        <w:tc>
          <w:tcPr>
            <w:tcW w:w="7178" w:type="dxa"/>
            <w:shd w:val="clear" w:color="auto" w:fill="auto"/>
          </w:tcPr>
          <w:p w14:paraId="3A294C19" w14:textId="77777777" w:rsidR="002F1810" w:rsidRPr="002F1810" w:rsidRDefault="002F1810" w:rsidP="002F1810">
            <w:pPr>
              <w:spacing w:before="60" w:after="60"/>
              <w:rPr>
                <w:color w:val="000000"/>
                <w:sz w:val="21"/>
                <w:szCs w:val="21"/>
              </w:rPr>
            </w:pPr>
            <w:r w:rsidRPr="002F1810">
              <w:rPr>
                <w:color w:val="000000"/>
                <w:sz w:val="21"/>
                <w:szCs w:val="21"/>
              </w:rPr>
              <w:t xml:space="preserve">Patients whose prostate tumour sample tests positive for a </w:t>
            </w:r>
            <w:r w:rsidRPr="002F1810">
              <w:rPr>
                <w:i/>
                <w:color w:val="000000"/>
                <w:sz w:val="21"/>
                <w:szCs w:val="21"/>
              </w:rPr>
              <w:t>BRCA1/2</w:t>
            </w:r>
            <w:r w:rsidRPr="002F1810">
              <w:rPr>
                <w:color w:val="000000"/>
                <w:sz w:val="21"/>
                <w:szCs w:val="21"/>
              </w:rPr>
              <w:t xml:space="preserve"> pathogenic variant would be considered for germline testing. This could lead to consideration of cascade testing of biological relatives of patients who have a germline </w:t>
            </w:r>
            <w:r w:rsidRPr="002F1810">
              <w:rPr>
                <w:i/>
                <w:color w:val="000000"/>
                <w:sz w:val="21"/>
                <w:szCs w:val="21"/>
              </w:rPr>
              <w:t>BRCA1/2</w:t>
            </w:r>
            <w:r w:rsidRPr="002F1810">
              <w:rPr>
                <w:color w:val="000000"/>
                <w:sz w:val="21"/>
                <w:szCs w:val="21"/>
              </w:rPr>
              <w:t xml:space="preserve"> pathogenic variant. Neither of these consequences were assessed in the submission. MBS item 73297 is tumour agnostic and funds cascade testing of biological relatives. The item was based on MSAC’s assessment of application 1411.1 that assessed genomic testing of selected affected individuals with breast or ovarian cancer. MSAC may wish to consider whether its assessment in application 1411.1 is applicable to the current population, specifically, whether the proband’s type of cancer (including difference in the prevalence of </w:t>
            </w:r>
            <w:r w:rsidRPr="002F1810">
              <w:rPr>
                <w:i/>
                <w:color w:val="000000"/>
                <w:sz w:val="21"/>
                <w:szCs w:val="21"/>
              </w:rPr>
              <w:t>BRCA1</w:t>
            </w:r>
            <w:r w:rsidRPr="002F1810">
              <w:rPr>
                <w:color w:val="000000"/>
                <w:sz w:val="21"/>
                <w:szCs w:val="21"/>
              </w:rPr>
              <w:t xml:space="preserve"> and </w:t>
            </w:r>
            <w:r w:rsidRPr="002F1810">
              <w:rPr>
                <w:i/>
                <w:color w:val="000000"/>
                <w:sz w:val="21"/>
                <w:szCs w:val="21"/>
              </w:rPr>
              <w:t xml:space="preserve">BRCA2 </w:t>
            </w:r>
            <w:r w:rsidRPr="002F1810">
              <w:rPr>
                <w:color w:val="000000"/>
                <w:sz w:val="21"/>
                <w:szCs w:val="21"/>
              </w:rPr>
              <w:t>pathogenic variants), age or sex might result in any difference in the likelihood of the biological relative testing positive for the identified variant and having the same predisposition risk.</w:t>
            </w:r>
            <w:r w:rsidRPr="002F1810">
              <w:rPr>
                <w:sz w:val="20"/>
              </w:rPr>
              <w:t xml:space="preserve"> </w:t>
            </w:r>
            <w:r w:rsidRPr="002F1810">
              <w:rPr>
                <w:color w:val="000000"/>
                <w:sz w:val="21"/>
                <w:szCs w:val="21"/>
              </w:rPr>
              <w:t>Additionally, MSAC may wish to consider what the health outcome and cost consequences are of adding male first-degree relatives to the cascade testing of female first-degree relatives.</w:t>
            </w:r>
          </w:p>
        </w:tc>
      </w:tr>
    </w:tbl>
    <w:p w14:paraId="3F1438A7" w14:textId="1DB9D6D2" w:rsidR="006A0D97" w:rsidRDefault="00F56D7F" w:rsidP="007C2DC0">
      <w:pPr>
        <w:spacing w:before="240" w:after="240"/>
        <w:rPr>
          <w:b/>
        </w:rPr>
      </w:pPr>
      <w:r w:rsidRPr="00F56D7F">
        <w:rPr>
          <w:b/>
        </w:rPr>
        <w:t>ESC</w:t>
      </w:r>
      <w:r w:rsidR="00663ECB">
        <w:rPr>
          <w:b/>
        </w:rPr>
        <w:t>s</w:t>
      </w:r>
      <w:r w:rsidRPr="00F56D7F">
        <w:rPr>
          <w:b/>
        </w:rPr>
        <w:t xml:space="preserve"> discussion</w:t>
      </w:r>
    </w:p>
    <w:p w14:paraId="05CE35AA" w14:textId="77777777" w:rsidR="002F1810" w:rsidRPr="002F1810" w:rsidRDefault="002F1810" w:rsidP="002F1810">
      <w:r w:rsidRPr="002F1810">
        <w:t xml:space="preserve">The ESCs noted that, consistent with the existing items for testing in high-grade serous ovarian, fallopian tube or primary peritoneal cancer (HGSOC, MBS items 73301 and 73295), the two proposed MBS items were for testing prostate tumour tissue for somatic pathogenic variants of the </w:t>
      </w:r>
      <w:r w:rsidRPr="002F1810">
        <w:rPr>
          <w:i/>
        </w:rPr>
        <w:t>BRCA1/2</w:t>
      </w:r>
      <w:r w:rsidRPr="002F1810">
        <w:t xml:space="preserve"> gene and germline testing where tumour testing was not feasible. The ESCs favoured adding new items for the </w:t>
      </w:r>
      <w:proofErr w:type="spellStart"/>
      <w:r w:rsidRPr="002F1810">
        <w:t>mCRPC</w:t>
      </w:r>
      <w:proofErr w:type="spellEnd"/>
      <w:r w:rsidRPr="002F1810">
        <w:t xml:space="preserve"> population rather than modifying these existing items. The ESCs noted that, also consistent with these items, the proposed somatic testing item was limited to once per primary tumour diagnosis. However, the ESCs queried if this was appropriate given that tumour testing can be affected by the purity of the tissue sample. The ESCs noted that, also consistent with these items, the proposed fee for both items was </w:t>
      </w:r>
      <w:r w:rsidRPr="0094152D">
        <w:t>$</w:t>
      </w:r>
      <w:r w:rsidRPr="006658BB">
        <w:t>1,200</w:t>
      </w:r>
      <w:r w:rsidRPr="002F1810">
        <w:t>. However, the ESCs queried if this was relatively large for testing of only two genes, and noted that some pathology providers charge considerably less for this service.</w:t>
      </w:r>
      <w:r w:rsidRPr="002F1810">
        <w:rPr>
          <w:vertAlign w:val="superscript"/>
        </w:rPr>
        <w:footnoteReference w:id="15"/>
      </w:r>
    </w:p>
    <w:p w14:paraId="79012D19" w14:textId="3F8549AA" w:rsidR="002F1810" w:rsidRPr="002F1810" w:rsidRDefault="002F1810" w:rsidP="007C2DC0">
      <w:pPr>
        <w:spacing w:before="240"/>
      </w:pPr>
      <w:r w:rsidRPr="002F1810">
        <w:t xml:space="preserve">The ESCs noted that </w:t>
      </w:r>
      <w:r w:rsidRPr="002F1810">
        <w:rPr>
          <w:i/>
        </w:rPr>
        <w:t>BRCA1/2</w:t>
      </w:r>
      <w:r w:rsidRPr="002F1810">
        <w:t xml:space="preserve"> are the source of the most prevalent homologous recombination repair (HRR) pathogenic genetic variants in prostate cancer.</w:t>
      </w:r>
    </w:p>
    <w:p w14:paraId="5BCCC6F5" w14:textId="6143A605" w:rsidR="002F1810" w:rsidRPr="002F1810" w:rsidRDefault="002F1810" w:rsidP="007C2DC0">
      <w:pPr>
        <w:spacing w:before="240"/>
      </w:pPr>
      <w:r w:rsidRPr="002F1810">
        <w:t xml:space="preserve">The ESCs noted that the United States (US) National Comprehensive Cancer Network (NCCN) and </w:t>
      </w:r>
      <w:proofErr w:type="spellStart"/>
      <w:r w:rsidRPr="002F1810">
        <w:t>eviQ</w:t>
      </w:r>
      <w:proofErr w:type="spellEnd"/>
      <w:r w:rsidRPr="002F1810">
        <w:t xml:space="preserve"> guidelines supported germline </w:t>
      </w:r>
      <w:r w:rsidRPr="002F1810">
        <w:rPr>
          <w:i/>
        </w:rPr>
        <w:t>BRCA1/2</w:t>
      </w:r>
      <w:r w:rsidRPr="002F1810">
        <w:t xml:space="preserve"> testing after positive somatic results in prostate cancer.</w:t>
      </w:r>
    </w:p>
    <w:p w14:paraId="55E27ADA" w14:textId="7140C036" w:rsidR="002F1810" w:rsidRPr="002F1810" w:rsidRDefault="002F1810" w:rsidP="002F1810">
      <w:r w:rsidRPr="002F1810">
        <w:lastRenderedPageBreak/>
        <w:t xml:space="preserve">The ESCs noted that the ADAR identified several laboratories that conduct </w:t>
      </w:r>
      <w:r w:rsidRPr="002F1810">
        <w:rPr>
          <w:i/>
        </w:rPr>
        <w:t xml:space="preserve">BRCA1/2 </w:t>
      </w:r>
      <w:r w:rsidRPr="002F1810">
        <w:t xml:space="preserve">testing. The ESCs considered the proposed NGS-based testing of prostate tissue for somatic </w:t>
      </w:r>
      <w:r w:rsidRPr="002F1810">
        <w:rPr>
          <w:i/>
        </w:rPr>
        <w:t xml:space="preserve">BRCA1/2 </w:t>
      </w:r>
      <w:r w:rsidRPr="002F1810">
        <w:t xml:space="preserve">variants was similar to existing testing of somatic </w:t>
      </w:r>
      <w:r w:rsidRPr="002F1810">
        <w:rPr>
          <w:i/>
        </w:rPr>
        <w:t xml:space="preserve">BRCA1/2 </w:t>
      </w:r>
      <w:r w:rsidRPr="002F1810">
        <w:t xml:space="preserve">testing of ovarian cancer. The ESCs noted the National Pathology Accreditation Advisory Council (NPAAC) advice that </w:t>
      </w:r>
      <w:r w:rsidRPr="002F1810">
        <w:rPr>
          <w:i/>
        </w:rPr>
        <w:t xml:space="preserve">BRCA1/2 </w:t>
      </w:r>
      <w:r w:rsidRPr="002F1810">
        <w:t>testing is established in a number of laboratories in Australia and that an external quality assurance is available. The ESCs concluded that pathology laboratories are in a position to offer the proposed service.</w:t>
      </w:r>
    </w:p>
    <w:p w14:paraId="6713909A" w14:textId="3024F76C" w:rsidR="002F1810" w:rsidRPr="002F1810" w:rsidRDefault="002F1810" w:rsidP="007C2DC0">
      <w:pPr>
        <w:spacing w:before="240"/>
      </w:pPr>
      <w:r w:rsidRPr="002F1810">
        <w:t xml:space="preserve">The ESCs noted that the proposed comparator for </w:t>
      </w:r>
      <w:r w:rsidRPr="002F1810">
        <w:rPr>
          <w:i/>
        </w:rPr>
        <w:t>BRCA</w:t>
      </w:r>
      <w:r w:rsidRPr="002F1810">
        <w:t xml:space="preserve"> testing was no testing.</w:t>
      </w:r>
    </w:p>
    <w:p w14:paraId="1D99081B" w14:textId="563FE1E4" w:rsidR="002F1810" w:rsidRPr="002F1810" w:rsidRDefault="002F1810" w:rsidP="007C2DC0">
      <w:pPr>
        <w:spacing w:before="240"/>
      </w:pPr>
      <w:r w:rsidRPr="002F1810">
        <w:t xml:space="preserve">The ESCs noted the TGA Delegate’s recommendation was to largely approve the registration of olaparib as requested, but with a limitation of the indication to patients with </w:t>
      </w:r>
      <w:r w:rsidRPr="002F1810">
        <w:rPr>
          <w:i/>
        </w:rPr>
        <w:t xml:space="preserve">BRCA1 </w:t>
      </w:r>
      <w:r w:rsidRPr="002F1810">
        <w:t xml:space="preserve">or </w:t>
      </w:r>
      <w:r w:rsidRPr="002F1810">
        <w:rPr>
          <w:i/>
        </w:rPr>
        <w:t>BRCA2</w:t>
      </w:r>
      <w:r w:rsidRPr="002F1810">
        <w:t xml:space="preserve"> pathogenic variants. Efficacy in the </w:t>
      </w:r>
      <w:r w:rsidRPr="002F1810">
        <w:rPr>
          <w:i/>
        </w:rPr>
        <w:t xml:space="preserve">BRCA1/2 </w:t>
      </w:r>
      <w:r w:rsidRPr="002F1810">
        <w:t xml:space="preserve">group was mainly driven by results in patients with </w:t>
      </w:r>
      <w:r w:rsidRPr="002F1810">
        <w:rPr>
          <w:i/>
        </w:rPr>
        <w:t>BRCA2</w:t>
      </w:r>
      <w:r w:rsidRPr="002F1810">
        <w:t xml:space="preserve"> variants; however, the delegate </w:t>
      </w:r>
      <w:r w:rsidR="00AD3D5C">
        <w:t>considered</w:t>
      </w:r>
      <w:r w:rsidRPr="002F1810">
        <w:t xml:space="preserve"> grouping of </w:t>
      </w:r>
      <w:r w:rsidRPr="002F1810">
        <w:rPr>
          <w:i/>
        </w:rPr>
        <w:t xml:space="preserve">BRCA1 </w:t>
      </w:r>
      <w:r w:rsidRPr="002F1810">
        <w:t xml:space="preserve">and </w:t>
      </w:r>
      <w:r w:rsidRPr="002F1810">
        <w:rPr>
          <w:i/>
        </w:rPr>
        <w:t xml:space="preserve">BRCA2 </w:t>
      </w:r>
      <w:r w:rsidRPr="002F1810">
        <w:t xml:space="preserve">was reasonable given the breadth and strength of pre-clinical and clinical evidence of sensitivity of PARP inhibitors in </w:t>
      </w:r>
      <w:r w:rsidRPr="002F1810">
        <w:rPr>
          <w:i/>
        </w:rPr>
        <w:t xml:space="preserve">BRCA1 </w:t>
      </w:r>
      <w:r w:rsidRPr="002F1810">
        <w:t xml:space="preserve">and </w:t>
      </w:r>
      <w:r w:rsidRPr="002F1810">
        <w:rPr>
          <w:i/>
        </w:rPr>
        <w:t xml:space="preserve">BRCA2 </w:t>
      </w:r>
      <w:r w:rsidRPr="002F1810">
        <w:t xml:space="preserve">pathogenic variants. </w:t>
      </w:r>
      <w:r w:rsidR="00AD3D5C">
        <w:t>The delegate considered</w:t>
      </w:r>
      <w:r w:rsidRPr="002F1810">
        <w:t xml:space="preserve"> that</w:t>
      </w:r>
      <w:r w:rsidR="00AD3D5C">
        <w:t>,</w:t>
      </w:r>
      <w:r w:rsidRPr="002F1810">
        <w:t xml:space="preserve"> like other rarer </w:t>
      </w:r>
      <w:r w:rsidR="00AD3D5C">
        <w:t>pathogenic variants</w:t>
      </w:r>
      <w:r w:rsidRPr="002F1810">
        <w:t xml:space="preserve">, the relative low rate of </w:t>
      </w:r>
      <w:r w:rsidRPr="002F1810">
        <w:rPr>
          <w:i/>
        </w:rPr>
        <w:t xml:space="preserve">BRCA1 </w:t>
      </w:r>
      <w:r w:rsidRPr="002F1810">
        <w:t xml:space="preserve">pathogenic variants in prostate cancer makes it difficult to assess responses in </w:t>
      </w:r>
      <w:r w:rsidRPr="002F1810">
        <w:rPr>
          <w:i/>
        </w:rPr>
        <w:t xml:space="preserve">BRCA1 </w:t>
      </w:r>
      <w:r w:rsidRPr="002F1810">
        <w:t xml:space="preserve">independent of </w:t>
      </w:r>
      <w:r w:rsidRPr="002F1810">
        <w:rPr>
          <w:i/>
        </w:rPr>
        <w:t>BRCA2</w:t>
      </w:r>
      <w:r w:rsidRPr="002F1810">
        <w:t>.</w:t>
      </w:r>
    </w:p>
    <w:p w14:paraId="1EC9D3D9" w14:textId="30628C30" w:rsidR="002F1810" w:rsidRPr="002F1810" w:rsidRDefault="002F1810" w:rsidP="007C2DC0">
      <w:pPr>
        <w:spacing w:before="240"/>
      </w:pPr>
      <w:r w:rsidRPr="002F1810">
        <w:t>The ESCs noted that there was a PFS benefit for Cohort A (</w:t>
      </w:r>
      <w:r w:rsidRPr="002F1810">
        <w:rPr>
          <w:i/>
        </w:rPr>
        <w:t>BRCA1</w:t>
      </w:r>
      <w:r w:rsidRPr="002F1810">
        <w:t xml:space="preserve">, </w:t>
      </w:r>
      <w:r w:rsidRPr="002F1810">
        <w:rPr>
          <w:i/>
        </w:rPr>
        <w:t xml:space="preserve">BRCA2 </w:t>
      </w:r>
      <w:r w:rsidRPr="002F1810">
        <w:t xml:space="preserve">or </w:t>
      </w:r>
      <w:r w:rsidRPr="002F1810">
        <w:rPr>
          <w:i/>
        </w:rPr>
        <w:t>ATM</w:t>
      </w:r>
      <w:r w:rsidRPr="002F1810">
        <w:t xml:space="preserve">). The ESCs noted there was a clinically meaningful improvement in overall survival (OS) in Cohort A, but not for Cohort B (other HRR genetic variants). The ESCs noted that the gene-level analyses are complex and the comparisons may be confounded by factors such as sample size and treatment history. Additionally, the </w:t>
      </w:r>
      <w:proofErr w:type="spellStart"/>
      <w:r w:rsidRPr="002F1810">
        <w:t>PROfound</w:t>
      </w:r>
      <w:proofErr w:type="spellEnd"/>
      <w:r w:rsidRPr="002F1810">
        <w:t xml:space="preserve"> trial was not designed to test the OS benefit of olaparib at the individual gene level. However, the ESCs agreed with the pre-ESCs response that the exploratory analyses suggested that patients with </w:t>
      </w:r>
      <w:r w:rsidRPr="002F1810">
        <w:rPr>
          <w:i/>
        </w:rPr>
        <w:t xml:space="preserve">BRCA1/2 </w:t>
      </w:r>
      <w:r w:rsidRPr="002F1810">
        <w:t xml:space="preserve">pathogenic variants derived the most benefit from olaparib. The ESCs highlighted that in the </w:t>
      </w:r>
      <w:proofErr w:type="spellStart"/>
      <w:r w:rsidRPr="002F1810">
        <w:t>PROfound</w:t>
      </w:r>
      <w:proofErr w:type="spellEnd"/>
      <w:r w:rsidRPr="002F1810">
        <w:t xml:space="preserve"> trial, a clear clinical benefit was not seen for other pathogenic HRR gene variants. The ESCs noted the pre-ESCs response reported that a test for interaction was conducted for Cohort A which supported that </w:t>
      </w:r>
      <w:r w:rsidRPr="002F1810">
        <w:rPr>
          <w:i/>
        </w:rPr>
        <w:t xml:space="preserve">BRCA1/2 </w:t>
      </w:r>
      <w:r w:rsidRPr="002F1810">
        <w:t xml:space="preserve">status is a positive treatment effect modifier whereas </w:t>
      </w:r>
      <w:r w:rsidRPr="002F1810">
        <w:rPr>
          <w:i/>
        </w:rPr>
        <w:t>ATM</w:t>
      </w:r>
      <w:r w:rsidRPr="002F1810">
        <w:t xml:space="preserve"> status is a negative treatment effect modifier (p-value of &lt;0.0001), which the pre-ESCs response claimed indicated there are significant differences between the subgroups. Additionally, the ESCs noted that t</w:t>
      </w:r>
      <w:r w:rsidR="009368C9">
        <w:t>he Phase II TOPARP</w:t>
      </w:r>
      <w:r w:rsidRPr="002F1810">
        <w:t xml:space="preserve">-B </w:t>
      </w:r>
      <w:r w:rsidR="009368C9">
        <w:t>trial</w:t>
      </w:r>
      <w:r w:rsidRPr="002F1810">
        <w:t xml:space="preserve"> showed a greater response in the </w:t>
      </w:r>
      <w:r w:rsidRPr="002F1810">
        <w:rPr>
          <w:i/>
        </w:rPr>
        <w:t xml:space="preserve">BRCA1/2 </w:t>
      </w:r>
      <w:r w:rsidRPr="002F1810">
        <w:t>subgroup than in patients with other genetic variants. The ESCs noted that although there was no direct evidence of clinical utility over patients with no variants, the evidence suggested olaparib was not as effective in non-</w:t>
      </w:r>
      <w:r w:rsidRPr="002F1810">
        <w:rPr>
          <w:i/>
        </w:rPr>
        <w:t>BRCA</w:t>
      </w:r>
      <w:r w:rsidRPr="002F1810">
        <w:t xml:space="preserve"> HRR genetic variants. Therefore, the ESCs concluded that there was some indirect evidence to support the clinical utility of somatic </w:t>
      </w:r>
      <w:r w:rsidRPr="002F1810">
        <w:rPr>
          <w:i/>
        </w:rPr>
        <w:t xml:space="preserve">BRCA1/2 </w:t>
      </w:r>
      <w:r w:rsidRPr="002F1810">
        <w:t>testing in the proposed population.</w:t>
      </w:r>
    </w:p>
    <w:p w14:paraId="4AB1EFC5" w14:textId="37254D9F" w:rsidR="002F1810" w:rsidRPr="002F1810" w:rsidRDefault="002F1810" w:rsidP="007C2DC0">
      <w:pPr>
        <w:spacing w:before="240"/>
        <w:rPr>
          <w:rFonts w:eastAsia="Calibri"/>
          <w:szCs w:val="24"/>
          <w:lang w:eastAsia="en-US"/>
        </w:rPr>
      </w:pPr>
      <w:r w:rsidRPr="002F1810">
        <w:rPr>
          <w:rFonts w:eastAsia="Calibri"/>
          <w:szCs w:val="24"/>
          <w:lang w:eastAsia="en-US"/>
        </w:rPr>
        <w:t>The ESCs noted that the Commentary raised the issue of discordance between germline and somatic variant status. The Commentary had noted that, when tumour testing is not possible, g</w:t>
      </w:r>
      <w:r w:rsidRPr="002F1810">
        <w:rPr>
          <w:rFonts w:eastAsia="Calibri"/>
          <w:iCs/>
          <w:szCs w:val="24"/>
          <w:lang w:eastAsia="en-US"/>
        </w:rPr>
        <w:t xml:space="preserve">ermline testing alone may not adequately identify all patients with </w:t>
      </w:r>
      <w:r w:rsidRPr="002F1810">
        <w:rPr>
          <w:rFonts w:eastAsia="Calibri"/>
          <w:i/>
          <w:iCs/>
          <w:szCs w:val="24"/>
          <w:lang w:eastAsia="en-US"/>
        </w:rPr>
        <w:t>BRCA1/2</w:t>
      </w:r>
      <w:r w:rsidRPr="002F1810">
        <w:rPr>
          <w:rFonts w:eastAsia="Calibri"/>
          <w:iCs/>
          <w:szCs w:val="24"/>
          <w:lang w:eastAsia="en-US"/>
        </w:rPr>
        <w:t xml:space="preserve"> pathogenic variants. Studies suggest approximately half to more than half of detected </w:t>
      </w:r>
      <w:r w:rsidRPr="002F1810">
        <w:rPr>
          <w:rFonts w:eastAsia="Calibri"/>
          <w:i/>
          <w:iCs/>
          <w:szCs w:val="24"/>
          <w:lang w:eastAsia="en-US"/>
        </w:rPr>
        <w:t>BRCA1/2</w:t>
      </w:r>
      <w:r w:rsidRPr="002F1810">
        <w:rPr>
          <w:rFonts w:eastAsia="Calibri"/>
          <w:iCs/>
          <w:szCs w:val="24"/>
          <w:lang w:eastAsia="en-US"/>
        </w:rPr>
        <w:t xml:space="preserve"> pathogenic variants in prostate cancer are somatic only</w:t>
      </w:r>
      <w:r w:rsidRPr="002F1810">
        <w:rPr>
          <w:rFonts w:eastAsia="Calibri"/>
          <w:iCs/>
          <w:szCs w:val="24"/>
          <w:vertAlign w:val="superscript"/>
          <w:lang w:eastAsia="en-US"/>
        </w:rPr>
        <w:footnoteReference w:id="16"/>
      </w:r>
      <w:r w:rsidRPr="002F1810">
        <w:rPr>
          <w:rFonts w:eastAsia="Calibri"/>
          <w:iCs/>
          <w:szCs w:val="24"/>
          <w:lang w:eastAsia="en-US"/>
        </w:rPr>
        <w:t xml:space="preserve"> </w:t>
      </w:r>
      <w:r w:rsidRPr="002F1810">
        <w:rPr>
          <w:rFonts w:eastAsia="Calibri"/>
          <w:iCs/>
          <w:szCs w:val="24"/>
          <w:vertAlign w:val="superscript"/>
          <w:lang w:eastAsia="en-US"/>
        </w:rPr>
        <w:footnoteReference w:id="17"/>
      </w:r>
      <w:r w:rsidRPr="002F1810">
        <w:rPr>
          <w:rFonts w:eastAsia="Calibri"/>
          <w:iCs/>
          <w:szCs w:val="24"/>
          <w:lang w:eastAsia="en-US"/>
        </w:rPr>
        <w:t xml:space="preserve">and thus would not be detected via germline testing alone. Pathogenic germline variants may also be missed by tumour testing alone. In one report, 2023 patients with cancer unselected for family history received </w:t>
      </w:r>
      <w:r w:rsidRPr="002F1810">
        <w:rPr>
          <w:rFonts w:eastAsia="Calibri"/>
          <w:iCs/>
          <w:szCs w:val="24"/>
          <w:lang w:eastAsia="en-US"/>
        </w:rPr>
        <w:lastRenderedPageBreak/>
        <w:t>germline testing and previously had tumour DNA sequencing, 8.1 percent of the pathogenic gene variants were found to have been missed by tumour sequencing alone</w:t>
      </w:r>
      <w:r w:rsidRPr="002F1810">
        <w:rPr>
          <w:rFonts w:eastAsia="Calibri"/>
          <w:iCs/>
          <w:szCs w:val="24"/>
          <w:vertAlign w:val="superscript"/>
          <w:lang w:eastAsia="en-US"/>
        </w:rPr>
        <w:footnoteReference w:id="18"/>
      </w:r>
      <w:r w:rsidRPr="002F1810">
        <w:rPr>
          <w:rFonts w:eastAsia="Calibri"/>
          <w:iCs/>
          <w:szCs w:val="24"/>
          <w:lang w:eastAsia="en-US"/>
        </w:rPr>
        <w:t>.</w:t>
      </w:r>
    </w:p>
    <w:p w14:paraId="15B1A941" w14:textId="43954EEC" w:rsidR="002F1810" w:rsidRPr="002F1810" w:rsidRDefault="002F1810" w:rsidP="007C2DC0">
      <w:pPr>
        <w:spacing w:before="240"/>
      </w:pPr>
      <w:r w:rsidRPr="002F1810">
        <w:t>The ESCs noted that no consultation feedback was received at the time of the meeting. The ESCs noted that, with the exception of health-related quality of life, no other patient reported outcomes or patient experience outcomes were reported. The ESCs noted there may be equity of access issue for patients outside major cities.</w:t>
      </w:r>
    </w:p>
    <w:p w14:paraId="0ED5D253" w14:textId="27B8B79E" w:rsidR="002F1810" w:rsidRPr="002F1810" w:rsidRDefault="002F1810" w:rsidP="007C2DC0">
      <w:pPr>
        <w:spacing w:before="240"/>
      </w:pPr>
      <w:r w:rsidRPr="002F1810">
        <w:t xml:space="preserve">The ESCs noted that the economic model focussed on patients with a pathogenic </w:t>
      </w:r>
      <w:r w:rsidRPr="002F1810">
        <w:rPr>
          <w:i/>
        </w:rPr>
        <w:t xml:space="preserve">BRCA1/2 </w:t>
      </w:r>
      <w:r w:rsidRPr="002F1810">
        <w:t xml:space="preserve">variant. The ESCs noted that, although costs of testing in the olaparib arm were included based on the number needed to be tested for each olaparib-eligible patient, this approach did not allow the consideration of different testing and treatment scenarios. The ESCs noted that the economic model included testing costs for 67% patients in the comparator arm based on the proportion of patients who subsequently switched to olaparib in the </w:t>
      </w:r>
      <w:proofErr w:type="spellStart"/>
      <w:r w:rsidRPr="002F1810">
        <w:t>PROfound</w:t>
      </w:r>
      <w:proofErr w:type="spellEnd"/>
      <w:r w:rsidRPr="002F1810">
        <w:t xml:space="preserve"> trial. The ESCs considered that this was inappropriate and not addressed in the pre-ESCs response. The ESCs also noted that the model did not consider the analytical performance of </w:t>
      </w:r>
      <w:r w:rsidRPr="002F1810">
        <w:rPr>
          <w:i/>
        </w:rPr>
        <w:t xml:space="preserve">BRCA1/2 </w:t>
      </w:r>
      <w:r w:rsidRPr="002F1810">
        <w:t>testing. The ESCs agreed with the pre-ESCs response that NGS results in few false positive or false negative results. Overall the ESCs considered that the inclusion of false positive and false negative results would not have a meaningful impact on the ICER. However, the ESCs considered that it may be worth considering whether the failure to consider repeat biopsies would have had an impact on the ICER.</w:t>
      </w:r>
    </w:p>
    <w:p w14:paraId="6166E880" w14:textId="297275EF" w:rsidR="002F1810" w:rsidRPr="002F1810" w:rsidRDefault="002F1810" w:rsidP="007C2DC0">
      <w:pPr>
        <w:spacing w:before="240"/>
      </w:pPr>
      <w:r w:rsidRPr="002F1810">
        <w:t xml:space="preserve">The ESCs also considered that it was inappropriate that the economic model did not include germline </w:t>
      </w:r>
      <w:r w:rsidRPr="002F1810">
        <w:rPr>
          <w:i/>
        </w:rPr>
        <w:t xml:space="preserve">BRCA1/2 </w:t>
      </w:r>
      <w:r w:rsidRPr="002F1810">
        <w:t>testing of patients with a positive somatic test.</w:t>
      </w:r>
    </w:p>
    <w:p w14:paraId="43261E16" w14:textId="5310F9AA" w:rsidR="002F1810" w:rsidRPr="002F1810" w:rsidRDefault="002F1810" w:rsidP="007C2DC0">
      <w:pPr>
        <w:spacing w:before="240"/>
        <w:rPr>
          <w:rFonts w:eastAsia="Calibri"/>
          <w:szCs w:val="24"/>
          <w:lang w:eastAsia="en-US"/>
        </w:rPr>
      </w:pPr>
      <w:r w:rsidRPr="002F1810">
        <w:rPr>
          <w:rFonts w:eastAsia="Calibri"/>
          <w:szCs w:val="24"/>
          <w:lang w:eastAsia="en-US"/>
        </w:rPr>
        <w:t xml:space="preserve">The ESCs noted that the </w:t>
      </w:r>
      <w:r w:rsidRPr="002F1810">
        <w:t>economic</w:t>
      </w:r>
      <w:r w:rsidRPr="002F1810">
        <w:rPr>
          <w:rFonts w:eastAsia="Calibri"/>
          <w:szCs w:val="24"/>
          <w:lang w:eastAsia="en-US"/>
        </w:rPr>
        <w:t xml:space="preserve"> model also did not include cascade testing of biological relatives despite the known autosomal dominant inheritance pattern for germline </w:t>
      </w:r>
      <w:r w:rsidRPr="002F1810">
        <w:rPr>
          <w:rFonts w:eastAsia="Calibri"/>
          <w:i/>
          <w:szCs w:val="24"/>
          <w:lang w:eastAsia="en-US"/>
        </w:rPr>
        <w:t xml:space="preserve">BRCA1/2 </w:t>
      </w:r>
      <w:r w:rsidRPr="002F1810">
        <w:rPr>
          <w:rFonts w:eastAsia="Calibri"/>
          <w:szCs w:val="24"/>
          <w:lang w:eastAsia="en-US"/>
        </w:rPr>
        <w:t xml:space="preserve">variants. As a result of this inheritance pattern, there may be an increased risk for any </w:t>
      </w:r>
      <w:r w:rsidRPr="002F1810">
        <w:rPr>
          <w:rFonts w:eastAsia="Calibri"/>
          <w:i/>
          <w:szCs w:val="24"/>
          <w:lang w:eastAsia="en-US"/>
        </w:rPr>
        <w:t>BRCA1/2</w:t>
      </w:r>
      <w:r w:rsidRPr="002F1810">
        <w:rPr>
          <w:rFonts w:eastAsia="Calibri"/>
          <w:szCs w:val="24"/>
          <w:lang w:eastAsia="en-US"/>
        </w:rPr>
        <w:t xml:space="preserve">–associated malignancy among first-degree male and female relatives of a proband. The ESCs noted that there are reasons for supporting and not supporting the inclusion of cascade testing in the assessment of this application. The ESCs noted that the pre-ESCs response argued that including the cost of cascade familial testing in the model is outside of the scope of the analysis and that the cost effectiveness of </w:t>
      </w:r>
      <w:r w:rsidRPr="002F1810">
        <w:rPr>
          <w:rFonts w:eastAsia="Calibri"/>
          <w:i/>
          <w:szCs w:val="24"/>
          <w:lang w:eastAsia="en-US"/>
        </w:rPr>
        <w:t xml:space="preserve">BRCA1/2 </w:t>
      </w:r>
      <w:r w:rsidRPr="002F1810">
        <w:rPr>
          <w:rFonts w:eastAsia="Calibri"/>
          <w:szCs w:val="24"/>
          <w:lang w:eastAsia="en-US"/>
        </w:rPr>
        <w:t xml:space="preserve">cascade testing has been demonstrated previously. However, the ESCs recalled that MSAC supported cascade testing of </w:t>
      </w:r>
      <w:r w:rsidRPr="002F1810">
        <w:rPr>
          <w:rFonts w:eastAsia="Calibri"/>
          <w:i/>
          <w:szCs w:val="24"/>
          <w:lang w:eastAsia="en-US"/>
        </w:rPr>
        <w:t xml:space="preserve">BRCA1/2 </w:t>
      </w:r>
      <w:r w:rsidRPr="002F1810">
        <w:rPr>
          <w:rFonts w:eastAsia="Calibri"/>
          <w:szCs w:val="24"/>
          <w:lang w:eastAsia="en-US"/>
        </w:rPr>
        <w:t>in biological relatives of probands with breast or ovarian cancer (</w:t>
      </w:r>
      <w:hyperlink r:id="rId40" w:history="1">
        <w:r w:rsidRPr="002F1810">
          <w:rPr>
            <w:rFonts w:eastAsia="Calibri"/>
            <w:color w:val="0563C1"/>
            <w:szCs w:val="24"/>
            <w:u w:val="single"/>
            <w:lang w:eastAsia="en-US"/>
          </w:rPr>
          <w:t>PSD Application No. 1411.1</w:t>
        </w:r>
      </w:hyperlink>
      <w:r w:rsidRPr="002F1810">
        <w:rPr>
          <w:rFonts w:eastAsia="Calibri"/>
          <w:szCs w:val="24"/>
          <w:lang w:eastAsia="en-US"/>
        </w:rPr>
        <w:t>, p1). The ESCs recalled that in MSAC’s consideration of Application 1411.1, the concept of ‘joint production’ was considered as performing genetic tests in affected individuals not only impacts their own utility or disutility values, but also those of their at-risk family members. MSAC accepted that there was a strong conceptual case to support the use of an integrated model which included the costs and effects of initially testing affected individuals and then also testing their family members according to the results of the tests for the affected individuals (</w:t>
      </w:r>
      <w:hyperlink r:id="rId41" w:history="1">
        <w:r w:rsidRPr="002F1810">
          <w:rPr>
            <w:rFonts w:eastAsia="Calibri"/>
            <w:color w:val="0563C1"/>
            <w:szCs w:val="24"/>
            <w:u w:val="single"/>
            <w:lang w:eastAsia="en-US"/>
          </w:rPr>
          <w:t>PSD Application No. 1411.1</w:t>
        </w:r>
      </w:hyperlink>
      <w:r w:rsidRPr="002F1810">
        <w:rPr>
          <w:rFonts w:eastAsia="Calibri"/>
          <w:szCs w:val="24"/>
          <w:lang w:eastAsia="en-US"/>
        </w:rPr>
        <w:t xml:space="preserve">, p2-3). The ESCs noted that although cascade testing was not explicitly considered in the </w:t>
      </w:r>
      <w:hyperlink r:id="rId42" w:history="1">
        <w:r w:rsidRPr="002F1810">
          <w:rPr>
            <w:rFonts w:eastAsia="Calibri"/>
            <w:color w:val="0563C1"/>
            <w:szCs w:val="24"/>
            <w:u w:val="single"/>
            <w:lang w:eastAsia="en-US"/>
          </w:rPr>
          <w:t>current MSAC investigative guidelines (Version 3.0, July 2017)</w:t>
        </w:r>
      </w:hyperlink>
      <w:r w:rsidRPr="002F1810">
        <w:rPr>
          <w:rFonts w:eastAsia="Calibri"/>
          <w:szCs w:val="24"/>
          <w:lang w:eastAsia="en-US"/>
        </w:rPr>
        <w:t xml:space="preserve">, the </w:t>
      </w:r>
      <w:hyperlink r:id="rId43" w:history="1">
        <w:r w:rsidRPr="002F1810">
          <w:rPr>
            <w:rFonts w:eastAsia="Calibri"/>
            <w:color w:val="0563C1"/>
            <w:szCs w:val="24"/>
            <w:u w:val="single"/>
            <w:lang w:eastAsia="en-US"/>
          </w:rPr>
          <w:t xml:space="preserve">CUC </w:t>
        </w:r>
        <w:proofErr w:type="spellStart"/>
        <w:r w:rsidRPr="002F1810">
          <w:rPr>
            <w:rFonts w:eastAsia="Calibri"/>
            <w:color w:val="0563C1"/>
            <w:szCs w:val="24"/>
            <w:u w:val="single"/>
            <w:lang w:eastAsia="en-US"/>
          </w:rPr>
          <w:t>profoma</w:t>
        </w:r>
        <w:proofErr w:type="spellEnd"/>
      </w:hyperlink>
      <w:r w:rsidRPr="002F1810">
        <w:rPr>
          <w:rFonts w:eastAsia="Calibri"/>
          <w:szCs w:val="24"/>
          <w:lang w:eastAsia="en-US"/>
        </w:rPr>
        <w:t xml:space="preserve"> (p1) includes assessment of cascade testing for family members of individuals who test positive for a relevant pathogenic genetic variant, and only when this pathogenic variant is also associated with having clinical utility for the family members. The ESCs concluded that failing to extend the economic model to incorporate the question of cascade testing in the economic model was inappropriate and should be addressed with reference the Background section </w:t>
      </w:r>
      <w:r w:rsidR="00C93AD6">
        <w:rPr>
          <w:rFonts w:eastAsia="Calibri"/>
          <w:szCs w:val="24"/>
          <w:lang w:eastAsia="en-US"/>
        </w:rPr>
        <w:t>above</w:t>
      </w:r>
      <w:r w:rsidRPr="002F1810">
        <w:rPr>
          <w:rFonts w:eastAsia="Calibri"/>
          <w:szCs w:val="24"/>
          <w:lang w:eastAsia="en-US"/>
        </w:rPr>
        <w:t>.</w:t>
      </w:r>
    </w:p>
    <w:p w14:paraId="14C9B9FC" w14:textId="4B0D2220" w:rsidR="002F1810" w:rsidRPr="002F1810" w:rsidRDefault="002F1810" w:rsidP="002F1810">
      <w:pPr>
        <w:rPr>
          <w:rFonts w:eastAsia="Calibri"/>
          <w:szCs w:val="24"/>
          <w:lang w:eastAsia="en-US"/>
        </w:rPr>
      </w:pPr>
      <w:r w:rsidRPr="002F1810">
        <w:rPr>
          <w:rFonts w:eastAsia="Calibri"/>
          <w:szCs w:val="24"/>
          <w:lang w:eastAsia="en-US"/>
        </w:rPr>
        <w:lastRenderedPageBreak/>
        <w:t xml:space="preserve">The ESCs therefore considered that MSAC may wish to consider whether its assessment of </w:t>
      </w:r>
      <w:r w:rsidRPr="002F1810">
        <w:rPr>
          <w:rFonts w:eastAsia="Calibri"/>
          <w:i/>
          <w:szCs w:val="24"/>
          <w:lang w:eastAsia="en-US"/>
        </w:rPr>
        <w:t xml:space="preserve">BRCA1/2 </w:t>
      </w:r>
      <w:r w:rsidRPr="002F1810">
        <w:rPr>
          <w:rFonts w:eastAsia="Calibri"/>
          <w:szCs w:val="24"/>
          <w:lang w:eastAsia="en-US"/>
        </w:rPr>
        <w:t>cascade testing in Application 1411.1 is applicable to the population in the current application. In its consideration of Application 1411.1, MSAC noted that the economic model did not capture the testing of parents or male children in scenario analyses and that these should be conducted, if relevant to diseases presented in future applications (</w:t>
      </w:r>
      <w:hyperlink r:id="rId44" w:history="1">
        <w:r w:rsidRPr="002F1810">
          <w:rPr>
            <w:rFonts w:eastAsia="Calibri"/>
            <w:color w:val="0563C1"/>
            <w:szCs w:val="24"/>
            <w:u w:val="single"/>
            <w:lang w:eastAsia="en-US"/>
          </w:rPr>
          <w:t>PSD Application No. 1411.1</w:t>
        </w:r>
      </w:hyperlink>
      <w:r w:rsidRPr="002F1810">
        <w:rPr>
          <w:rFonts w:eastAsia="Calibri"/>
          <w:szCs w:val="24"/>
          <w:lang w:eastAsia="en-US"/>
        </w:rPr>
        <w:t xml:space="preserve">, p5). MSAC may wish to consider whether the proband’s histological cancer type (including difference in the prevalence of germline </w:t>
      </w:r>
      <w:r w:rsidRPr="002F1810">
        <w:rPr>
          <w:rFonts w:eastAsia="Calibri"/>
          <w:i/>
          <w:szCs w:val="24"/>
          <w:lang w:eastAsia="en-US"/>
        </w:rPr>
        <w:t>BRCA1</w:t>
      </w:r>
      <w:r w:rsidRPr="002F1810">
        <w:rPr>
          <w:rFonts w:eastAsia="Calibri"/>
          <w:szCs w:val="24"/>
          <w:lang w:eastAsia="en-US"/>
        </w:rPr>
        <w:t xml:space="preserve"> and </w:t>
      </w:r>
      <w:r w:rsidRPr="002F1810">
        <w:rPr>
          <w:rFonts w:eastAsia="Calibri"/>
          <w:i/>
          <w:szCs w:val="24"/>
          <w:lang w:eastAsia="en-US"/>
        </w:rPr>
        <w:t>BRCA2</w:t>
      </w:r>
      <w:r w:rsidRPr="002F1810">
        <w:rPr>
          <w:rFonts w:eastAsia="Calibri"/>
          <w:szCs w:val="24"/>
          <w:lang w:eastAsia="en-US"/>
        </w:rPr>
        <w:t xml:space="preserve"> variant, or parent of origin of the variant), age or sex result in any difference in the likelihood of the first-degree relative testing positive for the identified variant has a differential effect on their predisposition risk. Any differences observed may impact on the generalisability between cancer types of the previously modelled impact of cascade testing in breast/ovarian cancer. Additionally, MSAC may wish to consider what the health outcomes and cost consequences are of cascade testing male and female first-degree relatives separately. </w:t>
      </w:r>
      <w:r w:rsidR="00990E65">
        <w:rPr>
          <w:rFonts w:eastAsia="Calibri"/>
          <w:szCs w:val="24"/>
          <w:lang w:eastAsia="en-US"/>
        </w:rPr>
        <w:t>Table 1</w:t>
      </w:r>
      <w:r w:rsidR="005B737C">
        <w:rPr>
          <w:rFonts w:eastAsia="Calibri"/>
          <w:szCs w:val="24"/>
          <w:lang w:eastAsia="en-US"/>
        </w:rPr>
        <w:t>0</w:t>
      </w:r>
      <w:r w:rsidRPr="002F1810">
        <w:rPr>
          <w:rFonts w:eastAsia="Calibri"/>
          <w:szCs w:val="24"/>
          <w:lang w:eastAsia="en-US"/>
        </w:rPr>
        <w:t xml:space="preserve"> outlines some of the key differences between the current application and the population considered in Application 1411.1. Further detail on the Application 1141.1 is presented in the Background section</w:t>
      </w:r>
      <w:r w:rsidR="001C1D73">
        <w:rPr>
          <w:rFonts w:eastAsia="Calibri"/>
          <w:szCs w:val="24"/>
          <w:lang w:eastAsia="en-US"/>
        </w:rPr>
        <w:t xml:space="preserve"> above</w:t>
      </w:r>
      <w:r w:rsidRPr="002F1810">
        <w:rPr>
          <w:rFonts w:eastAsia="Calibri"/>
          <w:szCs w:val="24"/>
          <w:lang w:eastAsia="en-US"/>
        </w:rPr>
        <w:t>.</w:t>
      </w:r>
    </w:p>
    <w:p w14:paraId="4290E201" w14:textId="47B42DC1" w:rsidR="002F1810" w:rsidRPr="002F1810" w:rsidRDefault="002F1810" w:rsidP="003D117A">
      <w:pPr>
        <w:keepNext/>
        <w:keepLines/>
        <w:spacing w:before="240" w:after="40"/>
        <w:jc w:val="both"/>
        <w:outlineLvl w:val="4"/>
        <w:rPr>
          <w:rFonts w:ascii="Arial Narrow" w:hAnsi="Arial Narrow" w:cs="Arial"/>
          <w:b/>
          <w:bCs/>
          <w:iCs/>
          <w:sz w:val="20"/>
          <w:lang w:eastAsia="en-US"/>
        </w:rPr>
      </w:pPr>
      <w:bookmarkStart w:id="10" w:name="_Ref63840873"/>
      <w:r w:rsidRPr="002F1810">
        <w:rPr>
          <w:rFonts w:ascii="Arial Narrow" w:hAnsi="Arial Narrow" w:cs="Arial"/>
          <w:b/>
          <w:bCs/>
          <w:iCs/>
          <w:sz w:val="20"/>
          <w:lang w:eastAsia="en-US"/>
        </w:rPr>
        <w:t>Table</w:t>
      </w:r>
      <w:bookmarkEnd w:id="10"/>
      <w:r w:rsidR="00990E65">
        <w:rPr>
          <w:rFonts w:ascii="Arial Narrow" w:hAnsi="Arial Narrow" w:cs="Arial"/>
          <w:b/>
          <w:bCs/>
          <w:iCs/>
          <w:sz w:val="20"/>
          <w:lang w:eastAsia="en-US"/>
        </w:rPr>
        <w:t xml:space="preserve"> 10</w:t>
      </w:r>
      <w:r w:rsidRPr="002F1810">
        <w:rPr>
          <w:rFonts w:ascii="Arial Narrow" w:hAnsi="Arial Narrow" w:cs="Arial"/>
          <w:b/>
          <w:bCs/>
          <w:iCs/>
          <w:sz w:val="20"/>
          <w:lang w:eastAsia="en-US"/>
        </w:rPr>
        <w:tab/>
        <w:t>Key differences in the population in the current application and Application 1411.1</w:t>
      </w:r>
    </w:p>
    <w:tbl>
      <w:tblPr>
        <w:tblStyle w:val="PBACTableStyle211"/>
        <w:tblW w:w="5000" w:type="pct"/>
        <w:tblLayout w:type="fixed"/>
        <w:tblCellMar>
          <w:left w:w="28" w:type="dxa"/>
          <w:right w:w="28" w:type="dxa"/>
        </w:tblCellMar>
        <w:tblLook w:val="04A0" w:firstRow="1" w:lastRow="0" w:firstColumn="1" w:lastColumn="0" w:noHBand="0" w:noVBand="1"/>
        <w:tblDescription w:val="Key differences in the population in the current application and Application 1411.1"/>
      </w:tblPr>
      <w:tblGrid>
        <w:gridCol w:w="3539"/>
        <w:gridCol w:w="2835"/>
        <w:gridCol w:w="2642"/>
      </w:tblGrid>
      <w:tr w:rsidR="002F1810" w:rsidRPr="002F1810" w14:paraId="18B3AFA7" w14:textId="77777777" w:rsidTr="00360C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3" w:type="pct"/>
            <w:tcBorders>
              <w:top w:val="single" w:sz="4" w:space="0" w:color="auto"/>
              <w:left w:val="single" w:sz="4" w:space="0" w:color="auto"/>
              <w:bottom w:val="single" w:sz="4" w:space="0" w:color="auto"/>
              <w:right w:val="single" w:sz="4" w:space="0" w:color="auto"/>
            </w:tcBorders>
            <w:vAlign w:val="bottom"/>
            <w:hideMark/>
          </w:tcPr>
          <w:p w14:paraId="4B3B207F" w14:textId="77777777" w:rsidR="002F1810" w:rsidRPr="002F1810" w:rsidRDefault="002F1810" w:rsidP="005B737C">
            <w:pPr>
              <w:keepNext/>
              <w:keepLines/>
              <w:spacing w:before="40" w:after="40" w:line="256" w:lineRule="auto"/>
              <w:jc w:val="left"/>
              <w:rPr>
                <w:rFonts w:ascii="Arial Narrow" w:hAnsi="Arial Narrow"/>
                <w:iCs/>
                <w:sz w:val="20"/>
                <w:lang w:eastAsia="en-GB"/>
              </w:rPr>
            </w:pPr>
            <w:r w:rsidRPr="002F1810">
              <w:rPr>
                <w:rFonts w:ascii="Arial Narrow" w:hAnsi="Arial Narrow"/>
                <w:iCs/>
                <w:sz w:val="20"/>
                <w:lang w:eastAsia="en-GB"/>
              </w:rPr>
              <w:t>Characteristic</w:t>
            </w:r>
          </w:p>
        </w:tc>
        <w:tc>
          <w:tcPr>
            <w:tcW w:w="1572" w:type="pct"/>
            <w:tcBorders>
              <w:top w:val="single" w:sz="4" w:space="0" w:color="auto"/>
              <w:left w:val="single" w:sz="4" w:space="0" w:color="auto"/>
              <w:bottom w:val="single" w:sz="4" w:space="0" w:color="auto"/>
              <w:right w:val="single" w:sz="4" w:space="0" w:color="auto"/>
            </w:tcBorders>
            <w:vAlign w:val="bottom"/>
            <w:hideMark/>
          </w:tcPr>
          <w:p w14:paraId="365A83B3" w14:textId="77777777" w:rsidR="002F1810" w:rsidRPr="002F1810" w:rsidRDefault="002F1810" w:rsidP="002F1810">
            <w:pPr>
              <w:keepNext/>
              <w:keepLines/>
              <w:spacing w:before="40" w:after="40" w:line="256" w:lineRule="auto"/>
              <w:cnfStyle w:val="100000000000" w:firstRow="1" w:lastRow="0" w:firstColumn="0" w:lastColumn="0" w:oddVBand="0" w:evenVBand="0" w:oddHBand="0" w:evenHBand="0" w:firstRowFirstColumn="0" w:firstRowLastColumn="0" w:lastRowFirstColumn="0" w:lastRowLastColumn="0"/>
              <w:rPr>
                <w:rFonts w:ascii="Arial Narrow" w:hAnsi="Arial Narrow"/>
                <w:iCs/>
                <w:sz w:val="20"/>
                <w:lang w:eastAsia="en-GB"/>
              </w:rPr>
            </w:pPr>
            <w:r w:rsidRPr="002F1810">
              <w:rPr>
                <w:rFonts w:ascii="Arial Narrow" w:hAnsi="Arial Narrow"/>
                <w:iCs/>
                <w:sz w:val="20"/>
                <w:lang w:eastAsia="en-GB"/>
              </w:rPr>
              <w:t>Application 1411.1</w:t>
            </w:r>
          </w:p>
        </w:tc>
        <w:tc>
          <w:tcPr>
            <w:tcW w:w="1465" w:type="pct"/>
            <w:tcBorders>
              <w:top w:val="single" w:sz="4" w:space="0" w:color="auto"/>
              <w:left w:val="single" w:sz="4" w:space="0" w:color="auto"/>
              <w:bottom w:val="single" w:sz="4" w:space="0" w:color="auto"/>
              <w:right w:val="single" w:sz="4" w:space="0" w:color="auto"/>
            </w:tcBorders>
            <w:vAlign w:val="bottom"/>
            <w:hideMark/>
          </w:tcPr>
          <w:p w14:paraId="497B4284" w14:textId="77777777" w:rsidR="002F1810" w:rsidRPr="002F1810" w:rsidRDefault="002F1810" w:rsidP="002F1810">
            <w:pPr>
              <w:keepNext/>
              <w:keepLines/>
              <w:spacing w:before="40" w:after="40" w:line="256" w:lineRule="auto"/>
              <w:cnfStyle w:val="100000000000" w:firstRow="1" w:lastRow="0" w:firstColumn="0" w:lastColumn="0" w:oddVBand="0" w:evenVBand="0" w:oddHBand="0" w:evenHBand="0" w:firstRowFirstColumn="0" w:firstRowLastColumn="0" w:lastRowFirstColumn="0" w:lastRowLastColumn="0"/>
              <w:rPr>
                <w:rFonts w:ascii="Arial Narrow" w:hAnsi="Arial Narrow"/>
                <w:iCs/>
                <w:sz w:val="20"/>
                <w:lang w:eastAsia="en-GB"/>
              </w:rPr>
            </w:pPr>
            <w:r w:rsidRPr="002F1810">
              <w:rPr>
                <w:rFonts w:ascii="Arial Narrow" w:hAnsi="Arial Narrow"/>
                <w:iCs/>
                <w:sz w:val="20"/>
                <w:lang w:eastAsia="en-GB"/>
              </w:rPr>
              <w:t>Application 1618</w:t>
            </w:r>
          </w:p>
        </w:tc>
      </w:tr>
      <w:tr w:rsidR="002F1810" w:rsidRPr="002F1810" w14:paraId="52041D36" w14:textId="77777777" w:rsidTr="00AB5518">
        <w:trPr>
          <w:trHeight w:val="223"/>
        </w:trPr>
        <w:tc>
          <w:tcPr>
            <w:cnfStyle w:val="001000000000" w:firstRow="0" w:lastRow="0" w:firstColumn="1" w:lastColumn="0" w:oddVBand="0" w:evenVBand="0" w:oddHBand="0" w:evenHBand="0" w:firstRowFirstColumn="0" w:firstRowLastColumn="0" w:lastRowFirstColumn="0" w:lastRowLastColumn="0"/>
            <w:tcW w:w="1963" w:type="pct"/>
            <w:tcBorders>
              <w:top w:val="single" w:sz="4" w:space="0" w:color="auto"/>
              <w:left w:val="single" w:sz="4" w:space="0" w:color="auto"/>
              <w:bottom w:val="single" w:sz="4" w:space="0" w:color="auto"/>
              <w:right w:val="nil"/>
            </w:tcBorders>
          </w:tcPr>
          <w:p w14:paraId="40664A26" w14:textId="77777777" w:rsidR="002F1810" w:rsidRPr="002F1810" w:rsidRDefault="002F1810" w:rsidP="002F1810">
            <w:pPr>
              <w:keepNext/>
              <w:keepLines/>
              <w:spacing w:before="40" w:after="40" w:line="256" w:lineRule="auto"/>
              <w:rPr>
                <w:rFonts w:ascii="Arial Narrow" w:hAnsi="Arial Narrow"/>
                <w:sz w:val="20"/>
                <w:lang w:eastAsia="en-GB"/>
              </w:rPr>
            </w:pPr>
            <w:r w:rsidRPr="002F1810">
              <w:rPr>
                <w:rFonts w:ascii="Arial Narrow" w:hAnsi="Arial Narrow"/>
                <w:sz w:val="20"/>
                <w:lang w:eastAsia="en-GB"/>
              </w:rPr>
              <w:t>Proband characteristics</w:t>
            </w:r>
          </w:p>
        </w:tc>
        <w:tc>
          <w:tcPr>
            <w:tcW w:w="1572" w:type="pct"/>
            <w:tcBorders>
              <w:top w:val="single" w:sz="4" w:space="0" w:color="auto"/>
              <w:left w:val="nil"/>
              <w:bottom w:val="single" w:sz="4" w:space="0" w:color="auto"/>
              <w:right w:val="nil"/>
            </w:tcBorders>
          </w:tcPr>
          <w:p w14:paraId="2F375B4A"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sz w:val="20"/>
              </w:rPr>
            </w:pPr>
          </w:p>
        </w:tc>
        <w:tc>
          <w:tcPr>
            <w:tcW w:w="1465" w:type="pct"/>
            <w:tcBorders>
              <w:top w:val="single" w:sz="4" w:space="0" w:color="auto"/>
              <w:left w:val="nil"/>
              <w:bottom w:val="single" w:sz="4" w:space="0" w:color="auto"/>
              <w:right w:val="single" w:sz="4" w:space="0" w:color="auto"/>
            </w:tcBorders>
          </w:tcPr>
          <w:p w14:paraId="79B5E44B"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bCs/>
                <w:iCs/>
                <w:sz w:val="20"/>
              </w:rPr>
            </w:pPr>
          </w:p>
        </w:tc>
      </w:tr>
      <w:tr w:rsidR="002F1810" w:rsidRPr="002F1810" w14:paraId="792FFE84" w14:textId="77777777" w:rsidTr="00AB5518">
        <w:trPr>
          <w:trHeight w:val="223"/>
        </w:trPr>
        <w:tc>
          <w:tcPr>
            <w:cnfStyle w:val="001000000000" w:firstRow="0" w:lastRow="0" w:firstColumn="1" w:lastColumn="0" w:oddVBand="0" w:evenVBand="0" w:oddHBand="0" w:evenHBand="0" w:firstRowFirstColumn="0" w:firstRowLastColumn="0" w:lastRowFirstColumn="0" w:lastRowLastColumn="0"/>
            <w:tcW w:w="1963" w:type="pct"/>
            <w:tcBorders>
              <w:top w:val="single" w:sz="4" w:space="0" w:color="auto"/>
              <w:left w:val="single" w:sz="4" w:space="0" w:color="auto"/>
              <w:bottom w:val="single" w:sz="4" w:space="0" w:color="auto"/>
              <w:right w:val="single" w:sz="4" w:space="0" w:color="auto"/>
            </w:tcBorders>
          </w:tcPr>
          <w:p w14:paraId="02E18626" w14:textId="77777777" w:rsidR="002F1810" w:rsidRPr="002F1810" w:rsidRDefault="002F1810" w:rsidP="002F1810">
            <w:pPr>
              <w:keepNext/>
              <w:keepLines/>
              <w:spacing w:before="40" w:after="40" w:line="256" w:lineRule="auto"/>
              <w:rPr>
                <w:rFonts w:ascii="Arial Narrow" w:hAnsi="Arial Narrow"/>
                <w:sz w:val="20"/>
                <w:lang w:eastAsia="en-GB"/>
              </w:rPr>
            </w:pPr>
            <w:r w:rsidRPr="002F1810">
              <w:rPr>
                <w:rFonts w:ascii="Arial Narrow" w:hAnsi="Arial Narrow"/>
                <w:sz w:val="20"/>
                <w:lang w:eastAsia="en-GB"/>
              </w:rPr>
              <w:t>Age</w:t>
            </w:r>
          </w:p>
        </w:tc>
        <w:tc>
          <w:tcPr>
            <w:tcW w:w="1572" w:type="pct"/>
            <w:tcBorders>
              <w:top w:val="single" w:sz="4" w:space="0" w:color="auto"/>
              <w:left w:val="single" w:sz="4" w:space="0" w:color="auto"/>
              <w:bottom w:val="single" w:sz="4" w:space="0" w:color="auto"/>
              <w:right w:val="single" w:sz="4" w:space="0" w:color="auto"/>
            </w:tcBorders>
          </w:tcPr>
          <w:p w14:paraId="20E41801"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sz w:val="20"/>
              </w:rPr>
            </w:pPr>
            <w:r w:rsidRPr="002F1810">
              <w:rPr>
                <w:sz w:val="20"/>
              </w:rPr>
              <w:t>40 years</w:t>
            </w:r>
          </w:p>
        </w:tc>
        <w:tc>
          <w:tcPr>
            <w:tcW w:w="1465" w:type="pct"/>
            <w:tcBorders>
              <w:top w:val="single" w:sz="4" w:space="0" w:color="auto"/>
              <w:left w:val="single" w:sz="4" w:space="0" w:color="auto"/>
              <w:bottom w:val="single" w:sz="4" w:space="0" w:color="auto"/>
              <w:right w:val="single" w:sz="4" w:space="0" w:color="auto"/>
            </w:tcBorders>
          </w:tcPr>
          <w:p w14:paraId="69799AAE"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bCs/>
                <w:iCs/>
                <w:sz w:val="20"/>
              </w:rPr>
            </w:pPr>
            <w:r w:rsidRPr="002F1810">
              <w:rPr>
                <w:bCs/>
                <w:iCs/>
                <w:sz w:val="20"/>
              </w:rPr>
              <w:t>67 years</w:t>
            </w:r>
          </w:p>
        </w:tc>
      </w:tr>
      <w:tr w:rsidR="002F1810" w:rsidRPr="002F1810" w14:paraId="2FB5CE39" w14:textId="77777777" w:rsidTr="00AB5518">
        <w:trPr>
          <w:trHeight w:val="223"/>
        </w:trPr>
        <w:tc>
          <w:tcPr>
            <w:cnfStyle w:val="001000000000" w:firstRow="0" w:lastRow="0" w:firstColumn="1" w:lastColumn="0" w:oddVBand="0" w:evenVBand="0" w:oddHBand="0" w:evenHBand="0" w:firstRowFirstColumn="0" w:firstRowLastColumn="0" w:lastRowFirstColumn="0" w:lastRowLastColumn="0"/>
            <w:tcW w:w="1963" w:type="pct"/>
            <w:tcBorders>
              <w:top w:val="single" w:sz="4" w:space="0" w:color="auto"/>
              <w:left w:val="single" w:sz="4" w:space="0" w:color="auto"/>
              <w:bottom w:val="single" w:sz="4" w:space="0" w:color="auto"/>
              <w:right w:val="single" w:sz="4" w:space="0" w:color="auto"/>
            </w:tcBorders>
          </w:tcPr>
          <w:p w14:paraId="41441114" w14:textId="77777777" w:rsidR="002F1810" w:rsidRPr="002F1810" w:rsidRDefault="002F1810" w:rsidP="002F1810">
            <w:pPr>
              <w:keepNext/>
              <w:keepLines/>
              <w:spacing w:before="40" w:after="40" w:line="256" w:lineRule="auto"/>
              <w:rPr>
                <w:rFonts w:ascii="Arial Narrow" w:hAnsi="Arial Narrow"/>
                <w:sz w:val="20"/>
                <w:lang w:eastAsia="en-GB"/>
              </w:rPr>
            </w:pPr>
            <w:r w:rsidRPr="002F1810">
              <w:rPr>
                <w:rFonts w:ascii="Arial Narrow" w:hAnsi="Arial Narrow"/>
                <w:sz w:val="20"/>
                <w:lang w:eastAsia="en-GB"/>
              </w:rPr>
              <w:t>Sex</w:t>
            </w:r>
          </w:p>
        </w:tc>
        <w:tc>
          <w:tcPr>
            <w:tcW w:w="1572" w:type="pct"/>
            <w:tcBorders>
              <w:top w:val="single" w:sz="4" w:space="0" w:color="auto"/>
              <w:left w:val="single" w:sz="4" w:space="0" w:color="auto"/>
              <w:bottom w:val="single" w:sz="4" w:space="0" w:color="auto"/>
              <w:right w:val="single" w:sz="4" w:space="0" w:color="auto"/>
            </w:tcBorders>
          </w:tcPr>
          <w:p w14:paraId="6B50014F"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sz w:val="20"/>
              </w:rPr>
            </w:pPr>
            <w:r w:rsidRPr="002F1810">
              <w:rPr>
                <w:sz w:val="20"/>
              </w:rPr>
              <w:t>Female</w:t>
            </w:r>
          </w:p>
        </w:tc>
        <w:tc>
          <w:tcPr>
            <w:tcW w:w="1465" w:type="pct"/>
            <w:tcBorders>
              <w:top w:val="single" w:sz="4" w:space="0" w:color="auto"/>
              <w:left w:val="single" w:sz="4" w:space="0" w:color="auto"/>
              <w:bottom w:val="single" w:sz="4" w:space="0" w:color="auto"/>
              <w:right w:val="single" w:sz="4" w:space="0" w:color="auto"/>
            </w:tcBorders>
          </w:tcPr>
          <w:p w14:paraId="774F13C1"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bCs/>
                <w:iCs/>
                <w:sz w:val="20"/>
              </w:rPr>
            </w:pPr>
            <w:r w:rsidRPr="002F1810">
              <w:rPr>
                <w:bCs/>
                <w:iCs/>
                <w:sz w:val="20"/>
              </w:rPr>
              <w:t>Male</w:t>
            </w:r>
          </w:p>
        </w:tc>
      </w:tr>
      <w:tr w:rsidR="002F1810" w:rsidRPr="002F1810" w14:paraId="270445C2" w14:textId="77777777" w:rsidTr="00AB5518">
        <w:trPr>
          <w:trHeight w:val="223"/>
        </w:trPr>
        <w:tc>
          <w:tcPr>
            <w:cnfStyle w:val="001000000000" w:firstRow="0" w:lastRow="0" w:firstColumn="1" w:lastColumn="0" w:oddVBand="0" w:evenVBand="0" w:oddHBand="0" w:evenHBand="0" w:firstRowFirstColumn="0" w:firstRowLastColumn="0" w:lastRowFirstColumn="0" w:lastRowLastColumn="0"/>
            <w:tcW w:w="1963" w:type="pct"/>
            <w:tcBorders>
              <w:top w:val="single" w:sz="4" w:space="0" w:color="auto"/>
              <w:left w:val="single" w:sz="4" w:space="0" w:color="auto"/>
              <w:bottom w:val="single" w:sz="4" w:space="0" w:color="auto"/>
              <w:right w:val="single" w:sz="4" w:space="0" w:color="auto"/>
            </w:tcBorders>
          </w:tcPr>
          <w:p w14:paraId="6CB524F7" w14:textId="77777777" w:rsidR="002F1810" w:rsidRPr="002F1810" w:rsidRDefault="002F1810" w:rsidP="002F1810">
            <w:pPr>
              <w:keepNext/>
              <w:keepLines/>
              <w:spacing w:before="40" w:after="40" w:line="256" w:lineRule="auto"/>
              <w:rPr>
                <w:rFonts w:ascii="Arial Narrow" w:hAnsi="Arial Narrow"/>
                <w:sz w:val="20"/>
                <w:lang w:eastAsia="en-GB"/>
              </w:rPr>
            </w:pPr>
            <w:r w:rsidRPr="002F1810">
              <w:rPr>
                <w:rFonts w:ascii="Arial Narrow" w:hAnsi="Arial Narrow"/>
                <w:sz w:val="20"/>
                <w:lang w:eastAsia="en-GB"/>
              </w:rPr>
              <w:t>Cancer diagnosis</w:t>
            </w:r>
          </w:p>
        </w:tc>
        <w:tc>
          <w:tcPr>
            <w:tcW w:w="1572" w:type="pct"/>
            <w:tcBorders>
              <w:top w:val="single" w:sz="4" w:space="0" w:color="auto"/>
              <w:left w:val="single" w:sz="4" w:space="0" w:color="auto"/>
              <w:bottom w:val="single" w:sz="4" w:space="0" w:color="auto"/>
              <w:right w:val="single" w:sz="4" w:space="0" w:color="auto"/>
            </w:tcBorders>
          </w:tcPr>
          <w:p w14:paraId="7C5803C6"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sz w:val="20"/>
              </w:rPr>
            </w:pPr>
            <w:r w:rsidRPr="002F1810">
              <w:rPr>
                <w:sz w:val="20"/>
              </w:rPr>
              <w:t>Breast or ovarian</w:t>
            </w:r>
          </w:p>
        </w:tc>
        <w:tc>
          <w:tcPr>
            <w:tcW w:w="1465" w:type="pct"/>
            <w:tcBorders>
              <w:top w:val="single" w:sz="4" w:space="0" w:color="auto"/>
              <w:left w:val="single" w:sz="4" w:space="0" w:color="auto"/>
              <w:bottom w:val="single" w:sz="4" w:space="0" w:color="auto"/>
              <w:right w:val="single" w:sz="4" w:space="0" w:color="auto"/>
            </w:tcBorders>
          </w:tcPr>
          <w:p w14:paraId="5795C06F"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bCs/>
                <w:iCs/>
                <w:sz w:val="20"/>
              </w:rPr>
            </w:pPr>
            <w:r w:rsidRPr="002F1810">
              <w:rPr>
                <w:bCs/>
                <w:iCs/>
                <w:sz w:val="20"/>
              </w:rPr>
              <w:t>Prostate</w:t>
            </w:r>
          </w:p>
        </w:tc>
      </w:tr>
      <w:tr w:rsidR="002F1810" w:rsidRPr="002F1810" w14:paraId="09AA0239" w14:textId="77777777" w:rsidTr="00AB5518">
        <w:trPr>
          <w:trHeight w:val="223"/>
        </w:trPr>
        <w:tc>
          <w:tcPr>
            <w:cnfStyle w:val="001000000000" w:firstRow="0" w:lastRow="0" w:firstColumn="1" w:lastColumn="0" w:oddVBand="0" w:evenVBand="0" w:oddHBand="0" w:evenHBand="0" w:firstRowFirstColumn="0" w:firstRowLastColumn="0" w:lastRowFirstColumn="0" w:lastRowLastColumn="0"/>
            <w:tcW w:w="1963" w:type="pct"/>
            <w:tcBorders>
              <w:top w:val="single" w:sz="4" w:space="0" w:color="auto"/>
              <w:left w:val="single" w:sz="4" w:space="0" w:color="auto"/>
              <w:bottom w:val="single" w:sz="4" w:space="0" w:color="auto"/>
              <w:right w:val="nil"/>
            </w:tcBorders>
          </w:tcPr>
          <w:p w14:paraId="69F4D860" w14:textId="77777777" w:rsidR="002F1810" w:rsidRPr="002F1810" w:rsidRDefault="002F1810" w:rsidP="002F1810">
            <w:pPr>
              <w:keepNext/>
              <w:keepLines/>
              <w:spacing w:before="40" w:after="40" w:line="256" w:lineRule="auto"/>
              <w:rPr>
                <w:rFonts w:ascii="Arial Narrow" w:hAnsi="Arial Narrow"/>
                <w:sz w:val="20"/>
                <w:lang w:eastAsia="en-GB"/>
              </w:rPr>
            </w:pPr>
            <w:r w:rsidRPr="002F1810">
              <w:rPr>
                <w:rFonts w:ascii="Arial Narrow" w:hAnsi="Arial Narrow"/>
                <w:sz w:val="20"/>
                <w:lang w:eastAsia="en-GB"/>
              </w:rPr>
              <w:t>Prevalence of pathogenic variants</w:t>
            </w:r>
          </w:p>
        </w:tc>
        <w:tc>
          <w:tcPr>
            <w:tcW w:w="1572" w:type="pct"/>
            <w:tcBorders>
              <w:top w:val="single" w:sz="4" w:space="0" w:color="auto"/>
              <w:left w:val="nil"/>
              <w:bottom w:val="single" w:sz="4" w:space="0" w:color="auto"/>
              <w:right w:val="nil"/>
            </w:tcBorders>
          </w:tcPr>
          <w:p w14:paraId="711DBDDA"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sz w:val="20"/>
              </w:rPr>
            </w:pPr>
          </w:p>
        </w:tc>
        <w:tc>
          <w:tcPr>
            <w:tcW w:w="1465" w:type="pct"/>
            <w:tcBorders>
              <w:top w:val="single" w:sz="4" w:space="0" w:color="auto"/>
              <w:left w:val="nil"/>
              <w:bottom w:val="single" w:sz="4" w:space="0" w:color="auto"/>
              <w:right w:val="single" w:sz="4" w:space="0" w:color="auto"/>
            </w:tcBorders>
          </w:tcPr>
          <w:p w14:paraId="1D095261"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bCs/>
                <w:iCs/>
                <w:sz w:val="20"/>
              </w:rPr>
            </w:pPr>
          </w:p>
        </w:tc>
      </w:tr>
      <w:tr w:rsidR="002F1810" w:rsidRPr="002F1810" w14:paraId="3984F0F6" w14:textId="77777777" w:rsidTr="00AB5518">
        <w:trPr>
          <w:trHeight w:val="223"/>
        </w:trPr>
        <w:tc>
          <w:tcPr>
            <w:cnfStyle w:val="001000000000" w:firstRow="0" w:lastRow="0" w:firstColumn="1" w:lastColumn="0" w:oddVBand="0" w:evenVBand="0" w:oddHBand="0" w:evenHBand="0" w:firstRowFirstColumn="0" w:firstRowLastColumn="0" w:lastRowFirstColumn="0" w:lastRowLastColumn="0"/>
            <w:tcW w:w="1963" w:type="pct"/>
            <w:tcBorders>
              <w:top w:val="single" w:sz="4" w:space="0" w:color="auto"/>
              <w:left w:val="single" w:sz="4" w:space="0" w:color="auto"/>
              <w:bottom w:val="single" w:sz="4" w:space="0" w:color="auto"/>
              <w:right w:val="single" w:sz="4" w:space="0" w:color="auto"/>
            </w:tcBorders>
          </w:tcPr>
          <w:p w14:paraId="5A23F3E9" w14:textId="110FDDD5" w:rsidR="002F1810" w:rsidRPr="002F1810" w:rsidRDefault="002F1810" w:rsidP="002F1810">
            <w:pPr>
              <w:keepNext/>
              <w:keepLines/>
              <w:spacing w:before="40" w:after="40" w:line="256" w:lineRule="auto"/>
              <w:rPr>
                <w:rFonts w:ascii="Arial Narrow" w:hAnsi="Arial Narrow"/>
                <w:sz w:val="20"/>
                <w:lang w:eastAsia="en-GB"/>
              </w:rPr>
            </w:pPr>
            <w:r w:rsidRPr="002F1810">
              <w:rPr>
                <w:rFonts w:ascii="Arial Narrow" w:hAnsi="Arial Narrow"/>
                <w:i/>
                <w:sz w:val="20"/>
                <w:lang w:eastAsia="en-GB"/>
              </w:rPr>
              <w:t>BRCA</w:t>
            </w:r>
            <w:r w:rsidR="005B737C">
              <w:rPr>
                <w:rFonts w:ascii="Arial Narrow" w:hAnsi="Arial Narrow"/>
                <w:sz w:val="20"/>
                <w:lang w:eastAsia="en-GB"/>
              </w:rPr>
              <w:t xml:space="preserve"> pathogenic variant positive</w:t>
            </w:r>
          </w:p>
        </w:tc>
        <w:tc>
          <w:tcPr>
            <w:tcW w:w="1572" w:type="pct"/>
            <w:tcBorders>
              <w:top w:val="single" w:sz="4" w:space="0" w:color="auto"/>
              <w:left w:val="single" w:sz="4" w:space="0" w:color="auto"/>
              <w:bottom w:val="single" w:sz="4" w:space="0" w:color="auto"/>
              <w:right w:val="single" w:sz="4" w:space="0" w:color="auto"/>
            </w:tcBorders>
          </w:tcPr>
          <w:p w14:paraId="30511C1E"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sz w:val="20"/>
              </w:rPr>
            </w:pPr>
            <w:r w:rsidRPr="002F1810">
              <w:rPr>
                <w:sz w:val="20"/>
              </w:rPr>
              <w:t>15% (germline)</w:t>
            </w:r>
          </w:p>
        </w:tc>
        <w:tc>
          <w:tcPr>
            <w:tcW w:w="1465" w:type="pct"/>
            <w:tcBorders>
              <w:top w:val="single" w:sz="4" w:space="0" w:color="auto"/>
              <w:left w:val="single" w:sz="4" w:space="0" w:color="auto"/>
              <w:bottom w:val="single" w:sz="4" w:space="0" w:color="auto"/>
              <w:right w:val="single" w:sz="4" w:space="0" w:color="auto"/>
            </w:tcBorders>
          </w:tcPr>
          <w:p w14:paraId="32B08902"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bCs/>
                <w:iCs/>
                <w:sz w:val="20"/>
              </w:rPr>
            </w:pPr>
            <w:r w:rsidRPr="002F1810">
              <w:rPr>
                <w:bCs/>
                <w:iCs/>
                <w:sz w:val="20"/>
              </w:rPr>
              <w:t>9.7% (tumour)</w:t>
            </w:r>
          </w:p>
        </w:tc>
      </w:tr>
      <w:tr w:rsidR="002F1810" w:rsidRPr="002F1810" w14:paraId="407C89A5" w14:textId="77777777" w:rsidTr="00AB5518">
        <w:trPr>
          <w:trHeight w:val="223"/>
        </w:trPr>
        <w:tc>
          <w:tcPr>
            <w:cnfStyle w:val="001000000000" w:firstRow="0" w:lastRow="0" w:firstColumn="1" w:lastColumn="0" w:oddVBand="0" w:evenVBand="0" w:oddHBand="0" w:evenHBand="0" w:firstRowFirstColumn="0" w:firstRowLastColumn="0" w:lastRowFirstColumn="0" w:lastRowLastColumn="0"/>
            <w:tcW w:w="1963" w:type="pct"/>
            <w:tcBorders>
              <w:top w:val="single" w:sz="4" w:space="0" w:color="auto"/>
              <w:left w:val="single" w:sz="4" w:space="0" w:color="auto"/>
              <w:bottom w:val="single" w:sz="4" w:space="0" w:color="auto"/>
              <w:right w:val="single" w:sz="4" w:space="0" w:color="auto"/>
            </w:tcBorders>
          </w:tcPr>
          <w:p w14:paraId="3C1CE209" w14:textId="77777777" w:rsidR="002F1810" w:rsidRPr="002F1810" w:rsidRDefault="002F1810" w:rsidP="002F1810">
            <w:pPr>
              <w:keepNext/>
              <w:keepLines/>
              <w:spacing w:before="40" w:after="40" w:line="256" w:lineRule="auto"/>
              <w:rPr>
                <w:rFonts w:ascii="Arial Narrow" w:hAnsi="Arial Narrow"/>
                <w:i/>
                <w:sz w:val="20"/>
                <w:lang w:eastAsia="en-GB"/>
              </w:rPr>
            </w:pPr>
            <w:r w:rsidRPr="002F1810">
              <w:rPr>
                <w:rFonts w:ascii="Arial Narrow" w:hAnsi="Arial Narrow"/>
                <w:i/>
                <w:sz w:val="20"/>
                <w:lang w:eastAsia="en-GB"/>
              </w:rPr>
              <w:t>BRCA1</w:t>
            </w:r>
          </w:p>
        </w:tc>
        <w:tc>
          <w:tcPr>
            <w:tcW w:w="1572" w:type="pct"/>
            <w:tcBorders>
              <w:top w:val="single" w:sz="4" w:space="0" w:color="auto"/>
              <w:left w:val="single" w:sz="4" w:space="0" w:color="auto"/>
              <w:bottom w:val="single" w:sz="4" w:space="0" w:color="auto"/>
              <w:right w:val="single" w:sz="4" w:space="0" w:color="auto"/>
            </w:tcBorders>
          </w:tcPr>
          <w:p w14:paraId="3B1856DA"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sz w:val="20"/>
              </w:rPr>
            </w:pPr>
            <w:r w:rsidRPr="002F1810">
              <w:rPr>
                <w:sz w:val="20"/>
              </w:rPr>
              <w:t>54%</w:t>
            </w:r>
          </w:p>
        </w:tc>
        <w:tc>
          <w:tcPr>
            <w:tcW w:w="1465" w:type="pct"/>
            <w:tcBorders>
              <w:top w:val="single" w:sz="4" w:space="0" w:color="auto"/>
              <w:left w:val="single" w:sz="4" w:space="0" w:color="auto"/>
              <w:bottom w:val="single" w:sz="4" w:space="0" w:color="auto"/>
              <w:right w:val="single" w:sz="4" w:space="0" w:color="auto"/>
            </w:tcBorders>
          </w:tcPr>
          <w:p w14:paraId="2FC8AC08"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bCs/>
                <w:iCs/>
                <w:sz w:val="20"/>
                <w:vertAlign w:val="superscript"/>
              </w:rPr>
            </w:pPr>
            <w:r w:rsidRPr="002F1810">
              <w:rPr>
                <w:bCs/>
                <w:iCs/>
                <w:sz w:val="20"/>
              </w:rPr>
              <w:t xml:space="preserve">10% </w:t>
            </w:r>
            <w:r w:rsidRPr="002F1810">
              <w:rPr>
                <w:bCs/>
                <w:iCs/>
                <w:sz w:val="20"/>
                <w:vertAlign w:val="superscript"/>
              </w:rPr>
              <w:t>a</w:t>
            </w:r>
          </w:p>
        </w:tc>
      </w:tr>
      <w:tr w:rsidR="002F1810" w:rsidRPr="002F1810" w14:paraId="0FEEE410" w14:textId="77777777" w:rsidTr="00AB5518">
        <w:trPr>
          <w:trHeight w:val="223"/>
        </w:trPr>
        <w:tc>
          <w:tcPr>
            <w:cnfStyle w:val="001000000000" w:firstRow="0" w:lastRow="0" w:firstColumn="1" w:lastColumn="0" w:oddVBand="0" w:evenVBand="0" w:oddHBand="0" w:evenHBand="0" w:firstRowFirstColumn="0" w:firstRowLastColumn="0" w:lastRowFirstColumn="0" w:lastRowLastColumn="0"/>
            <w:tcW w:w="1963" w:type="pct"/>
            <w:tcBorders>
              <w:top w:val="single" w:sz="4" w:space="0" w:color="auto"/>
              <w:left w:val="single" w:sz="4" w:space="0" w:color="auto"/>
              <w:bottom w:val="single" w:sz="4" w:space="0" w:color="auto"/>
              <w:right w:val="single" w:sz="4" w:space="0" w:color="auto"/>
            </w:tcBorders>
          </w:tcPr>
          <w:p w14:paraId="04B95783" w14:textId="77777777" w:rsidR="002F1810" w:rsidRPr="002F1810" w:rsidRDefault="002F1810" w:rsidP="002F1810">
            <w:pPr>
              <w:keepNext/>
              <w:keepLines/>
              <w:spacing w:before="40" w:after="40" w:line="256" w:lineRule="auto"/>
              <w:rPr>
                <w:rFonts w:ascii="Arial Narrow" w:hAnsi="Arial Narrow"/>
                <w:i/>
                <w:sz w:val="20"/>
                <w:lang w:eastAsia="en-GB"/>
              </w:rPr>
            </w:pPr>
            <w:r w:rsidRPr="002F1810">
              <w:rPr>
                <w:rFonts w:ascii="Arial Narrow" w:hAnsi="Arial Narrow"/>
                <w:i/>
                <w:sz w:val="20"/>
                <w:lang w:eastAsia="en-GB"/>
              </w:rPr>
              <w:t>BRCA2</w:t>
            </w:r>
          </w:p>
        </w:tc>
        <w:tc>
          <w:tcPr>
            <w:tcW w:w="1572" w:type="pct"/>
            <w:tcBorders>
              <w:top w:val="single" w:sz="4" w:space="0" w:color="auto"/>
              <w:left w:val="single" w:sz="4" w:space="0" w:color="auto"/>
              <w:bottom w:val="single" w:sz="4" w:space="0" w:color="auto"/>
              <w:right w:val="single" w:sz="4" w:space="0" w:color="auto"/>
            </w:tcBorders>
          </w:tcPr>
          <w:p w14:paraId="555EE487"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sz w:val="20"/>
              </w:rPr>
            </w:pPr>
            <w:r w:rsidRPr="002F1810">
              <w:rPr>
                <w:sz w:val="20"/>
              </w:rPr>
              <w:t>46%</w:t>
            </w:r>
          </w:p>
        </w:tc>
        <w:tc>
          <w:tcPr>
            <w:tcW w:w="1465" w:type="pct"/>
            <w:tcBorders>
              <w:top w:val="single" w:sz="4" w:space="0" w:color="auto"/>
              <w:left w:val="single" w:sz="4" w:space="0" w:color="auto"/>
              <w:bottom w:val="single" w:sz="4" w:space="0" w:color="auto"/>
              <w:right w:val="single" w:sz="4" w:space="0" w:color="auto"/>
            </w:tcBorders>
          </w:tcPr>
          <w:p w14:paraId="3471E1C4" w14:textId="77777777" w:rsidR="002F1810" w:rsidRPr="002F1810" w:rsidRDefault="002F1810" w:rsidP="002F1810">
            <w:pPr>
              <w:keepNext/>
              <w:keepLines/>
              <w:spacing w:before="40" w:after="40" w:line="256" w:lineRule="auto"/>
              <w:cnfStyle w:val="000000000000" w:firstRow="0" w:lastRow="0" w:firstColumn="0" w:lastColumn="0" w:oddVBand="0" w:evenVBand="0" w:oddHBand="0" w:evenHBand="0" w:firstRowFirstColumn="0" w:firstRowLastColumn="0" w:lastRowFirstColumn="0" w:lastRowLastColumn="0"/>
              <w:rPr>
                <w:bCs/>
                <w:iCs/>
                <w:sz w:val="20"/>
              </w:rPr>
            </w:pPr>
            <w:r w:rsidRPr="002F1810">
              <w:rPr>
                <w:bCs/>
                <w:iCs/>
                <w:sz w:val="20"/>
              </w:rPr>
              <w:t xml:space="preserve">90% </w:t>
            </w:r>
            <w:r w:rsidRPr="002F1810">
              <w:rPr>
                <w:bCs/>
                <w:iCs/>
                <w:sz w:val="20"/>
                <w:vertAlign w:val="superscript"/>
              </w:rPr>
              <w:t>a</w:t>
            </w:r>
          </w:p>
        </w:tc>
      </w:tr>
    </w:tbl>
    <w:p w14:paraId="5AAFF4B4" w14:textId="6DA0C090" w:rsidR="002F1810" w:rsidRPr="002F1810" w:rsidRDefault="002F1810" w:rsidP="003D117A">
      <w:pPr>
        <w:keepNext/>
        <w:keepLines/>
        <w:spacing w:after="240" w:line="259" w:lineRule="auto"/>
        <w:rPr>
          <w:rFonts w:eastAsia="Calibri"/>
          <w:szCs w:val="24"/>
          <w:lang w:eastAsia="en-US"/>
        </w:rPr>
      </w:pPr>
      <w:proofErr w:type="spellStart"/>
      <w:r w:rsidRPr="002F1810">
        <w:rPr>
          <w:rFonts w:ascii="Arial Narrow" w:eastAsia="Calibri" w:hAnsi="Arial Narrow" w:cs="Arial"/>
          <w:color w:val="000000"/>
          <w:sz w:val="20"/>
          <w:szCs w:val="24"/>
          <w:vertAlign w:val="superscript"/>
          <w:lang w:eastAsia="en-US"/>
        </w:rPr>
        <w:t>a</w:t>
      </w:r>
      <w:proofErr w:type="spellEnd"/>
      <w:r w:rsidRPr="002F1810">
        <w:rPr>
          <w:rFonts w:ascii="Arial Narrow" w:eastAsia="Calibri" w:hAnsi="Arial Narrow" w:cs="Arial"/>
          <w:color w:val="000000"/>
          <w:sz w:val="20"/>
          <w:szCs w:val="24"/>
          <w:lang w:eastAsia="en-US"/>
        </w:rPr>
        <w:t xml:space="preserve"> The submission reported that 1.0% were </w:t>
      </w:r>
      <w:r w:rsidRPr="002F1810">
        <w:rPr>
          <w:rFonts w:ascii="Arial Narrow" w:eastAsia="Calibri" w:hAnsi="Arial Narrow" w:cs="Arial"/>
          <w:i/>
          <w:color w:val="000000"/>
          <w:sz w:val="20"/>
          <w:szCs w:val="24"/>
          <w:lang w:eastAsia="en-US"/>
        </w:rPr>
        <w:t>BRCA1</w:t>
      </w:r>
      <w:r w:rsidRPr="002F1810">
        <w:rPr>
          <w:rFonts w:ascii="Arial Narrow" w:eastAsia="Calibri" w:hAnsi="Arial Narrow" w:cs="Arial"/>
          <w:color w:val="000000"/>
          <w:sz w:val="20"/>
          <w:szCs w:val="24"/>
          <w:lang w:eastAsia="en-US"/>
        </w:rPr>
        <w:t xml:space="preserve"> positive and 8.7% were </w:t>
      </w:r>
      <w:r w:rsidRPr="002F1810">
        <w:rPr>
          <w:rFonts w:ascii="Arial Narrow" w:eastAsia="Calibri" w:hAnsi="Arial Narrow" w:cs="Arial"/>
          <w:i/>
          <w:color w:val="000000"/>
          <w:sz w:val="20"/>
          <w:szCs w:val="24"/>
          <w:lang w:eastAsia="en-US"/>
        </w:rPr>
        <w:t>BRCA2</w:t>
      </w:r>
      <w:r w:rsidRPr="002F1810">
        <w:rPr>
          <w:rFonts w:ascii="Arial Narrow" w:eastAsia="Calibri" w:hAnsi="Arial Narrow" w:cs="Arial"/>
          <w:color w:val="000000"/>
          <w:sz w:val="20"/>
          <w:szCs w:val="24"/>
          <w:lang w:eastAsia="en-US"/>
        </w:rPr>
        <w:t xml:space="preserve"> positive in the </w:t>
      </w:r>
      <w:proofErr w:type="spellStart"/>
      <w:r w:rsidRPr="002F1810">
        <w:rPr>
          <w:rFonts w:ascii="Arial Narrow" w:eastAsia="Calibri" w:hAnsi="Arial Narrow" w:cs="Arial"/>
          <w:color w:val="000000"/>
          <w:sz w:val="20"/>
          <w:szCs w:val="24"/>
          <w:lang w:eastAsia="en-US"/>
        </w:rPr>
        <w:t>PROfound</w:t>
      </w:r>
      <w:proofErr w:type="spellEnd"/>
      <w:r w:rsidRPr="002F1810">
        <w:rPr>
          <w:rFonts w:ascii="Arial Narrow" w:eastAsia="Calibri" w:hAnsi="Arial Narrow" w:cs="Arial"/>
          <w:color w:val="000000"/>
          <w:sz w:val="20"/>
          <w:szCs w:val="24"/>
          <w:lang w:eastAsia="en-US"/>
        </w:rPr>
        <w:t xml:space="preserve"> trial.</w:t>
      </w:r>
    </w:p>
    <w:p w14:paraId="0D967128" w14:textId="5D171D54" w:rsidR="002F1810" w:rsidRPr="003D117A" w:rsidRDefault="002F1810" w:rsidP="003D117A">
      <w:r w:rsidRPr="002F1810">
        <w:t>The ESCs noted that the pre-ESCs response reiterated that the use of a prevalence based appropriate was appropriate to estimate financial implications, but</w:t>
      </w:r>
      <w:r w:rsidRPr="002F1810">
        <w:rPr>
          <w:rFonts w:ascii="Calibri" w:hAnsi="Calibri"/>
          <w:szCs w:val="24"/>
          <w:lang w:eastAsia="en-GB"/>
        </w:rPr>
        <w:t xml:space="preserve"> </w:t>
      </w:r>
      <w:r w:rsidRPr="002F1810">
        <w:t xml:space="preserve">were not confident that the approach adopted in the submission accurately estimated the number of patients starting olaparib each year. The ESCs also considered that the financial estimates should include germline testing following a positive somatic test, and testing of biological relatives of patients with germline </w:t>
      </w:r>
      <w:r w:rsidR="00AD3D5C">
        <w:t>variants</w:t>
      </w:r>
      <w:r w:rsidRPr="002F1810">
        <w:t>. The ESCs noted that when these flow-on costs were considered costs to the MBS accounted for 47.4% of overall financial costs to the MBS and PBS. However, the ESCs considered that these analyses did not include</w:t>
      </w:r>
      <w:r w:rsidRPr="002F1810">
        <w:rPr>
          <w:rFonts w:eastAsia="Calibri"/>
          <w:szCs w:val="24"/>
          <w:lang w:eastAsia="en-US"/>
        </w:rPr>
        <w:t xml:space="preserve"> the complete financial impact of additional cascade testing, including the cost of preventative strategies.</w:t>
      </w:r>
    </w:p>
    <w:p w14:paraId="5F7FB21E" w14:textId="77777777" w:rsidR="00D90A38" w:rsidRPr="00F715D1" w:rsidRDefault="00BC1364" w:rsidP="00F715D1">
      <w:pPr>
        <w:pStyle w:val="Heading1"/>
      </w:pPr>
      <w:r w:rsidRPr="00F715D1">
        <w:t>Other significant factors</w:t>
      </w:r>
    </w:p>
    <w:p w14:paraId="40E117A5" w14:textId="77777777" w:rsidR="00BC1364" w:rsidRPr="0012086B" w:rsidRDefault="00BC1364" w:rsidP="00F715D1">
      <w:pPr>
        <w:spacing w:after="240"/>
        <w:rPr>
          <w:szCs w:val="24"/>
        </w:rPr>
      </w:pPr>
      <w:r w:rsidRPr="0012086B">
        <w:rPr>
          <w:szCs w:val="24"/>
        </w:rPr>
        <w:t>Nil</w:t>
      </w:r>
      <w:r w:rsidR="0012086B">
        <w:rPr>
          <w:szCs w:val="24"/>
        </w:rPr>
        <w:t>.</w:t>
      </w:r>
    </w:p>
    <w:p w14:paraId="1654DA41" w14:textId="77777777" w:rsidR="00BC1364" w:rsidRPr="00F715D1" w:rsidRDefault="00C06B0B" w:rsidP="00F715D1">
      <w:pPr>
        <w:pStyle w:val="Heading1"/>
      </w:pPr>
      <w:r>
        <w:t>Applicant</w:t>
      </w:r>
      <w:r w:rsidR="00BC1364" w:rsidRPr="00F715D1">
        <w:t xml:space="preserve"> comments on MSAC’s </w:t>
      </w:r>
      <w:r w:rsidR="00DA56AA" w:rsidRPr="00F715D1">
        <w:t>Public Summary Document</w:t>
      </w:r>
    </w:p>
    <w:p w14:paraId="5045A3C3" w14:textId="5A087A4A" w:rsidR="00BC1364" w:rsidRPr="006658BB" w:rsidRDefault="008F1E4F" w:rsidP="00F715D1">
      <w:pPr>
        <w:spacing w:after="240"/>
        <w:rPr>
          <w:szCs w:val="24"/>
        </w:rPr>
      </w:pPr>
      <w:r w:rsidRPr="006658BB">
        <w:rPr>
          <w:szCs w:val="24"/>
        </w:rPr>
        <w:t>The applicant had no comment.</w:t>
      </w:r>
    </w:p>
    <w:p w14:paraId="1AA859DE" w14:textId="77777777" w:rsidR="00BC1364" w:rsidRPr="00F715D1" w:rsidRDefault="00271F18" w:rsidP="00F715D1">
      <w:pPr>
        <w:pStyle w:val="Heading1"/>
      </w:pPr>
      <w:r w:rsidRPr="00F715D1">
        <w:t>Further information on MSAC</w:t>
      </w:r>
    </w:p>
    <w:p w14:paraId="478C4DF3" w14:textId="77777777" w:rsidR="00BC1364" w:rsidRPr="00F715D1" w:rsidRDefault="00271F18" w:rsidP="00F715D1">
      <w:pPr>
        <w:spacing w:after="240"/>
        <w:rPr>
          <w:szCs w:val="24"/>
        </w:rPr>
      </w:pPr>
      <w:r w:rsidRPr="00F715D1">
        <w:rPr>
          <w:szCs w:val="24"/>
        </w:rPr>
        <w:t xml:space="preserve">MSAC Terms of Reference and other </w:t>
      </w:r>
      <w:r w:rsidR="00BC1364" w:rsidRPr="00F715D1">
        <w:rPr>
          <w:szCs w:val="24"/>
        </w:rPr>
        <w:t xml:space="preserve">information </w:t>
      </w:r>
      <w:r w:rsidRPr="00F715D1">
        <w:rPr>
          <w:szCs w:val="24"/>
        </w:rPr>
        <w:t>are</w:t>
      </w:r>
      <w:r w:rsidR="00BC1364" w:rsidRPr="00F715D1">
        <w:rPr>
          <w:szCs w:val="24"/>
        </w:rPr>
        <w:t xml:space="preserve"> available on the MSAC Website: </w:t>
      </w:r>
      <w:r w:rsidR="00BC2667">
        <w:rPr>
          <w:szCs w:val="24"/>
        </w:rPr>
        <w:br/>
      </w:r>
      <w:hyperlink r:id="rId45" w:tooltip="Link to Medical Services Advisory Committee website" w:history="1">
        <w:r w:rsidR="00BC2667" w:rsidRPr="00F715D1">
          <w:rPr>
            <w:rStyle w:val="Hyperlink"/>
            <w:szCs w:val="24"/>
          </w:rPr>
          <w:t>visit the MSAC website</w:t>
        </w:r>
      </w:hyperlink>
    </w:p>
    <w:sectPr w:rsidR="00BC1364" w:rsidRPr="00F715D1" w:rsidSect="00271F18">
      <w:footerReference w:type="default" r:id="rId46"/>
      <w:pgSz w:w="11906" w:h="16838"/>
      <w:pgMar w:top="1134"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891C15" w14:textId="77777777" w:rsidR="00F97785" w:rsidRDefault="00F97785" w:rsidP="00065623">
      <w:r>
        <w:separator/>
      </w:r>
    </w:p>
  </w:endnote>
  <w:endnote w:type="continuationSeparator" w:id="0">
    <w:p w14:paraId="78CE26C6" w14:textId="77777777" w:rsidR="00F97785" w:rsidRDefault="00F97785" w:rsidP="00065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dobe Devanagari">
    <w:panose1 w:val="02040503050201020203"/>
    <w:charset w:val="00"/>
    <w:family w:val="roman"/>
    <w:notTrueType/>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00"/>
    <w:family w:val="roman"/>
    <w:notTrueType/>
    <w:pitch w:val="default"/>
    <w:sig w:usb0="00000001"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ArialNarrow">
    <w:altName w:val="Arial"/>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3507969"/>
      <w:docPartObj>
        <w:docPartGallery w:val="Page Numbers (Bottom of Page)"/>
        <w:docPartUnique/>
      </w:docPartObj>
    </w:sdtPr>
    <w:sdtEndPr>
      <w:rPr>
        <w:noProof/>
      </w:rPr>
    </w:sdtEndPr>
    <w:sdtContent>
      <w:p w14:paraId="10ECD36F" w14:textId="6CF9E587" w:rsidR="00F97785" w:rsidRDefault="00F97785">
        <w:pPr>
          <w:pStyle w:val="Footer"/>
          <w:jc w:val="right"/>
        </w:pPr>
        <w:r>
          <w:fldChar w:fldCharType="begin"/>
        </w:r>
        <w:r>
          <w:instrText xml:space="preserve"> PAGE   \* MERGEFORMAT </w:instrText>
        </w:r>
        <w:r>
          <w:fldChar w:fldCharType="separate"/>
        </w:r>
        <w:r w:rsidR="00E370C0">
          <w:rPr>
            <w:noProof/>
          </w:rPr>
          <w:t>26</w:t>
        </w:r>
        <w:r>
          <w:rPr>
            <w:noProof/>
          </w:rPr>
          <w:fldChar w:fldCharType="end"/>
        </w:r>
      </w:p>
    </w:sdtContent>
  </w:sdt>
  <w:p w14:paraId="68780E55" w14:textId="77777777" w:rsidR="00F97785" w:rsidRDefault="00F977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450FB3" w14:textId="77777777" w:rsidR="00F97785" w:rsidRDefault="00F97785" w:rsidP="00065623">
      <w:r>
        <w:separator/>
      </w:r>
    </w:p>
  </w:footnote>
  <w:footnote w:type="continuationSeparator" w:id="0">
    <w:p w14:paraId="7D22FA05" w14:textId="77777777" w:rsidR="00F97785" w:rsidRDefault="00F97785" w:rsidP="00065623">
      <w:r>
        <w:continuationSeparator/>
      </w:r>
    </w:p>
  </w:footnote>
  <w:footnote w:id="1">
    <w:p w14:paraId="1ABDA30E" w14:textId="4B085304" w:rsidR="00F97785" w:rsidRDefault="00F97785" w:rsidP="00474EEB">
      <w:pPr>
        <w:pStyle w:val="FootnoteText"/>
      </w:pPr>
      <w:r>
        <w:rPr>
          <w:rStyle w:val="FootnoteReference"/>
        </w:rPr>
        <w:footnoteRef/>
      </w:r>
      <w:r>
        <w:t xml:space="preserve"> The ITT HR was reported in</w:t>
      </w:r>
      <w:r w:rsidRPr="0067695F">
        <w:t xml:space="preserve"> the submission.</w:t>
      </w:r>
    </w:p>
  </w:footnote>
  <w:footnote w:id="2">
    <w:p w14:paraId="78250967" w14:textId="77777777" w:rsidR="00F97785" w:rsidRDefault="00F97785" w:rsidP="00474EEB">
      <w:pPr>
        <w:pStyle w:val="FootnoteText"/>
      </w:pPr>
      <w:r>
        <w:rPr>
          <w:rStyle w:val="FootnoteReference"/>
        </w:rPr>
        <w:footnoteRef/>
      </w:r>
      <w:r>
        <w:t xml:space="preserve"> Hussain et al 2020 supplementary appendix.</w:t>
      </w:r>
    </w:p>
  </w:footnote>
  <w:footnote w:id="3">
    <w:p w14:paraId="3FE6B2E6" w14:textId="4021848D" w:rsidR="00F97785" w:rsidRDefault="00F97785" w:rsidP="00474EEB">
      <w:pPr>
        <w:pStyle w:val="FootnoteText"/>
      </w:pPr>
      <w:r>
        <w:rPr>
          <w:rStyle w:val="FootnoteReference"/>
        </w:rPr>
        <w:footnoteRef/>
      </w:r>
      <w:r>
        <w:t xml:space="preserve"> </w:t>
      </w:r>
      <w:r w:rsidRPr="001408CD">
        <w:t xml:space="preserve">Marshall CH, </w:t>
      </w:r>
      <w:proofErr w:type="spellStart"/>
      <w:r w:rsidRPr="001408CD">
        <w:t>Sokolova</w:t>
      </w:r>
      <w:proofErr w:type="spellEnd"/>
      <w:r w:rsidRPr="001408CD">
        <w:t xml:space="preserve"> AO, </w:t>
      </w:r>
      <w:proofErr w:type="spellStart"/>
      <w:r w:rsidRPr="001408CD">
        <w:t>McNatty</w:t>
      </w:r>
      <w:proofErr w:type="spellEnd"/>
      <w:r w:rsidRPr="001408CD">
        <w:t xml:space="preserve"> AL, Cheng HH, Eisenberger MA, Bryce AH, et al. Differential response to olaparib treatment among men with metastatic castration-resistant prostate cancer </w:t>
      </w:r>
      <w:proofErr w:type="spellStart"/>
      <w:r w:rsidRPr="001408CD">
        <w:t>harboring</w:t>
      </w:r>
      <w:proofErr w:type="spellEnd"/>
      <w:r w:rsidRPr="001408CD">
        <w:t xml:space="preserve"> </w:t>
      </w:r>
      <w:r w:rsidRPr="009D3BAD">
        <w:rPr>
          <w:i/>
        </w:rPr>
        <w:t>BRCA1</w:t>
      </w:r>
      <w:r w:rsidRPr="00AD3D5C">
        <w:t xml:space="preserve"> </w:t>
      </w:r>
      <w:r w:rsidRPr="001408CD">
        <w:t xml:space="preserve">or </w:t>
      </w:r>
      <w:r w:rsidRPr="009D3BAD">
        <w:rPr>
          <w:i/>
        </w:rPr>
        <w:t>BRCA2</w:t>
      </w:r>
      <w:r w:rsidRPr="00AD3D5C">
        <w:t xml:space="preserve"> </w:t>
      </w:r>
      <w:r w:rsidRPr="001408CD">
        <w:t xml:space="preserve">versus </w:t>
      </w:r>
      <w:r w:rsidRPr="00D73ABF">
        <w:rPr>
          <w:i/>
        </w:rPr>
        <w:t>ATM</w:t>
      </w:r>
      <w:r w:rsidRPr="001408CD">
        <w:t xml:space="preserve"> mutations. Eur </w:t>
      </w:r>
      <w:proofErr w:type="spellStart"/>
      <w:r w:rsidRPr="001408CD">
        <w:t>Urol</w:t>
      </w:r>
      <w:proofErr w:type="spellEnd"/>
      <w:r w:rsidRPr="001408CD">
        <w:t xml:space="preserve"> 2019;76(4):452-8.</w:t>
      </w:r>
    </w:p>
  </w:footnote>
  <w:footnote w:id="4">
    <w:p w14:paraId="1069EC69" w14:textId="77777777" w:rsidR="00F97785" w:rsidRPr="009010C8" w:rsidRDefault="00F97785" w:rsidP="00474EEB">
      <w:pPr>
        <w:pStyle w:val="FootnoteText"/>
      </w:pPr>
      <w:r>
        <w:rPr>
          <w:rStyle w:val="FootnoteReference"/>
        </w:rPr>
        <w:footnoteRef/>
      </w:r>
      <w:r w:rsidRPr="00D2311D">
        <w:t xml:space="preserve"> </w:t>
      </w:r>
      <w:proofErr w:type="spellStart"/>
      <w:r w:rsidRPr="00D2311D">
        <w:t>Abida</w:t>
      </w:r>
      <w:proofErr w:type="spellEnd"/>
      <w:r w:rsidRPr="00D2311D">
        <w:t xml:space="preserve"> W et al. Profiling of Prostate Cancer Across Disease States Reveals Germline and Somatic</w:t>
      </w:r>
      <w:r>
        <w:t xml:space="preserve"> </w:t>
      </w:r>
      <w:r w:rsidRPr="00D2311D">
        <w:t xml:space="preserve">Alterations That May Affect Clinical Decision Making. </w:t>
      </w:r>
      <w:r w:rsidRPr="009010C8">
        <w:t>JCO Precis On</w:t>
      </w:r>
      <w:r>
        <w:t>col. 2017 Jul;2017:PO.17.00029.</w:t>
      </w:r>
    </w:p>
  </w:footnote>
  <w:footnote w:id="5">
    <w:p w14:paraId="4A9F3D3A" w14:textId="3443A44E" w:rsidR="00F97785" w:rsidRDefault="00F97785" w:rsidP="00474EEB">
      <w:pPr>
        <w:pStyle w:val="FootnoteText"/>
      </w:pPr>
      <w:r>
        <w:rPr>
          <w:rStyle w:val="FootnoteReference"/>
        </w:rPr>
        <w:footnoteRef/>
      </w:r>
      <w:r>
        <w:t xml:space="preserve"> </w:t>
      </w:r>
      <w:r w:rsidRPr="00907A73">
        <w:t xml:space="preserve">Lang SH, Swift SL, White H, </w:t>
      </w:r>
      <w:proofErr w:type="spellStart"/>
      <w:r w:rsidRPr="00907A73">
        <w:t>Misso</w:t>
      </w:r>
      <w:proofErr w:type="spellEnd"/>
      <w:r w:rsidRPr="00907A73">
        <w:t xml:space="preserve"> K, </w:t>
      </w:r>
      <w:proofErr w:type="spellStart"/>
      <w:r w:rsidRPr="00907A73">
        <w:t>Kleijnen</w:t>
      </w:r>
      <w:proofErr w:type="spellEnd"/>
      <w:r w:rsidRPr="00907A73">
        <w:t xml:space="preserve"> J, Quek RGW. A systematic review of the prevalence of DNA damage response gene mutations in prostate cancer. Int J Oncol. 2019;55(3):597-616. doi:10.3892/ijo.2019.4842</w:t>
      </w:r>
      <w:r>
        <w:t>.</w:t>
      </w:r>
    </w:p>
  </w:footnote>
  <w:footnote w:id="6">
    <w:p w14:paraId="59FCC60A" w14:textId="77777777" w:rsidR="00F97785" w:rsidRDefault="00F97785" w:rsidP="00474EEB">
      <w:pPr>
        <w:pStyle w:val="FootnoteText"/>
      </w:pPr>
      <w:r>
        <w:rPr>
          <w:rStyle w:val="FootnoteReference"/>
        </w:rPr>
        <w:footnoteRef/>
      </w:r>
      <w:r>
        <w:t xml:space="preserve"> </w:t>
      </w:r>
      <w:r w:rsidRPr="009010C8">
        <w:t>NCCN Guidelines, Prostate Cancer, V3 2020.</w:t>
      </w:r>
    </w:p>
  </w:footnote>
  <w:footnote w:id="7">
    <w:p w14:paraId="51466405" w14:textId="77777777" w:rsidR="00F97785" w:rsidRDefault="00F97785" w:rsidP="00474EEB">
      <w:pPr>
        <w:pStyle w:val="FootnoteText"/>
      </w:pPr>
      <w:r>
        <w:rPr>
          <w:rStyle w:val="FootnoteReference"/>
        </w:rPr>
        <w:footnoteRef/>
      </w:r>
      <w:r>
        <w:t xml:space="preserve"> Lincoln SE, Nussbaum RL, Kurian AW, Nielsen SM, Das K, Michalski S, Yang S, </w:t>
      </w:r>
      <w:r w:rsidRPr="001800B3">
        <w:t xml:space="preserve">Ngo N, Blanco A, Esplin ED. </w:t>
      </w:r>
      <w:r>
        <w:t xml:space="preserve">Yield and Utility of Germline Testing Following </w:t>
      </w:r>
      <w:proofErr w:type="spellStart"/>
      <w:r>
        <w:t>Tumor</w:t>
      </w:r>
      <w:proofErr w:type="spellEnd"/>
      <w:r>
        <w:t xml:space="preserve"> Sequencing in Patients With Cancer. JAMA </w:t>
      </w:r>
      <w:proofErr w:type="spellStart"/>
      <w:r>
        <w:t>Netw</w:t>
      </w:r>
      <w:proofErr w:type="spellEnd"/>
      <w:r>
        <w:t xml:space="preserve"> Open. 2020 Oct 1;3(10):e2019452. </w:t>
      </w:r>
      <w:proofErr w:type="spellStart"/>
      <w:r>
        <w:t>doi</w:t>
      </w:r>
      <w:proofErr w:type="spellEnd"/>
      <w:r>
        <w:t>: 10.1001/jamanetworkopen.2020.19452.</w:t>
      </w:r>
    </w:p>
  </w:footnote>
  <w:footnote w:id="8">
    <w:p w14:paraId="1477ED5C" w14:textId="77777777" w:rsidR="00F97785" w:rsidRPr="009010C8" w:rsidRDefault="00F97785" w:rsidP="00474EEB">
      <w:pPr>
        <w:pStyle w:val="FootnoteText"/>
      </w:pPr>
      <w:r>
        <w:rPr>
          <w:rStyle w:val="FootnoteReference"/>
        </w:rPr>
        <w:footnoteRef/>
      </w:r>
      <w:r w:rsidRPr="009010C8">
        <w:t xml:space="preserve"> NCCN Guidelines, Prostate Cancer, V3 2020.</w:t>
      </w:r>
    </w:p>
  </w:footnote>
  <w:footnote w:id="9">
    <w:p w14:paraId="57D99838" w14:textId="77777777" w:rsidR="00F97785" w:rsidRDefault="00F97785" w:rsidP="00474EEB">
      <w:pPr>
        <w:pStyle w:val="FootnoteText"/>
      </w:pPr>
      <w:r>
        <w:rPr>
          <w:rStyle w:val="FootnoteReference"/>
        </w:rPr>
        <w:footnoteRef/>
      </w:r>
      <w:r>
        <w:t xml:space="preserve"> </w:t>
      </w:r>
      <w:proofErr w:type="spellStart"/>
      <w:r>
        <w:t>Giri</w:t>
      </w:r>
      <w:proofErr w:type="spellEnd"/>
      <w:r>
        <w:t xml:space="preserve"> VN, Knudsen KE, Kelly WK et al. Implementation of germline testing for prostate cancer: Philadelphia Prostate Cancer Consensus Conference 2019. J Clin Oncol 2-2-:JCO2000046.</w:t>
      </w:r>
    </w:p>
  </w:footnote>
  <w:footnote w:id="10">
    <w:p w14:paraId="51B18637" w14:textId="77777777" w:rsidR="00F97785" w:rsidRDefault="00F97785" w:rsidP="006B0FEE">
      <w:pPr>
        <w:pStyle w:val="FootnoteText"/>
      </w:pPr>
      <w:r>
        <w:rPr>
          <w:rStyle w:val="FootnoteReference"/>
        </w:rPr>
        <w:footnoteRef/>
      </w:r>
      <w:r>
        <w:t xml:space="preserve"> </w:t>
      </w:r>
      <w:r w:rsidRPr="00CD52F2">
        <w:t xml:space="preserve">Mateo J, </w:t>
      </w:r>
      <w:proofErr w:type="spellStart"/>
      <w:r w:rsidRPr="00CD52F2">
        <w:t>Carreira</w:t>
      </w:r>
      <w:proofErr w:type="spellEnd"/>
      <w:r w:rsidRPr="00CD52F2">
        <w:t xml:space="preserve"> S, Sandhu S, et al. DNA-Repair Defects and Olaparib in Metastatic Prostate Cancer. N </w:t>
      </w:r>
      <w:proofErr w:type="spellStart"/>
      <w:r w:rsidRPr="00CD52F2">
        <w:t>Engl</w:t>
      </w:r>
      <w:proofErr w:type="spellEnd"/>
      <w:r w:rsidRPr="00CD52F2">
        <w:t xml:space="preserve"> J Med. 2015;373(18):1697-1708.</w:t>
      </w:r>
    </w:p>
  </w:footnote>
  <w:footnote w:id="11">
    <w:p w14:paraId="2276DF13" w14:textId="77777777" w:rsidR="00F97785" w:rsidRDefault="00F97785" w:rsidP="006B0FEE">
      <w:pPr>
        <w:pStyle w:val="FootnoteText"/>
      </w:pPr>
      <w:r>
        <w:rPr>
          <w:rStyle w:val="FootnoteReference"/>
        </w:rPr>
        <w:footnoteRef/>
      </w:r>
      <w:r>
        <w:t xml:space="preserve"> </w:t>
      </w:r>
      <w:r w:rsidRPr="00CD52F2">
        <w:t xml:space="preserve">Mateo J, Porta N, </w:t>
      </w:r>
      <w:proofErr w:type="spellStart"/>
      <w:r w:rsidRPr="00CD52F2">
        <w:t>Bianchini</w:t>
      </w:r>
      <w:proofErr w:type="spellEnd"/>
      <w:r w:rsidRPr="00CD52F2">
        <w:t xml:space="preserve"> D, et al. Olaparib in patients with metastatic castration-resistant prostate cancer with DNA repair gene aberrations (TOPARP-B): a multicentre, open-label, randomised, phase 2 trial. Lancet Oncol. 2020;21(1):162-174.</w:t>
      </w:r>
    </w:p>
  </w:footnote>
  <w:footnote w:id="12">
    <w:p w14:paraId="45588F61" w14:textId="77777777" w:rsidR="00F97785" w:rsidRDefault="00F97785" w:rsidP="006B0FEE">
      <w:pPr>
        <w:pStyle w:val="TableFooter"/>
        <w:spacing w:after="0"/>
      </w:pPr>
      <w:r w:rsidRPr="00674902">
        <w:rPr>
          <w:rStyle w:val="FootnoteReference"/>
        </w:rPr>
        <w:footnoteRef/>
      </w:r>
      <w:r w:rsidRPr="00674902">
        <w:t xml:space="preserve"> Commercially available from </w:t>
      </w:r>
      <w:proofErr w:type="spellStart"/>
      <w:r w:rsidRPr="00674902">
        <w:t>QIAseq</w:t>
      </w:r>
      <w:proofErr w:type="spellEnd"/>
      <w:r w:rsidRPr="00674902">
        <w:t xml:space="preserve"> at: </w:t>
      </w:r>
      <w:hyperlink r:id="rId1" w:anchor="orderinginformation" w:history="1">
        <w:r w:rsidRPr="00D3430D">
          <w:rPr>
            <w:rStyle w:val="Hyperlink"/>
          </w:rPr>
          <w:t>https://www.qiagen.com/au/products/discovery-and-translational-research/next-generation-sequencing/dna-sequencing/somatic-panels/qiaseq-targeted-dna-extended-panels/#orderinginformation</w:t>
        </w:r>
      </w:hyperlink>
    </w:p>
  </w:footnote>
  <w:footnote w:id="13">
    <w:p w14:paraId="71814DE8" w14:textId="77777777" w:rsidR="00F97785" w:rsidRDefault="00F97785" w:rsidP="006B0FEE">
      <w:pPr>
        <w:pStyle w:val="TableFooter"/>
      </w:pPr>
      <w:r>
        <w:rPr>
          <w:rStyle w:val="FootnoteReference"/>
        </w:rPr>
        <w:footnoteRef/>
      </w:r>
      <w:r>
        <w:t xml:space="preserve"> </w:t>
      </w:r>
      <w:r w:rsidRPr="004321D8">
        <w:t xml:space="preserve">McDonough SJ, </w:t>
      </w:r>
      <w:proofErr w:type="spellStart"/>
      <w:r w:rsidRPr="004321D8">
        <w:t>Bhagwate</w:t>
      </w:r>
      <w:proofErr w:type="spellEnd"/>
      <w:r w:rsidRPr="004321D8">
        <w:t xml:space="preserve"> A, Sun Z, et al. Use of FFPE-derived DNA in next generation sequencing: DNA extraction methods. </w:t>
      </w:r>
      <w:proofErr w:type="spellStart"/>
      <w:r w:rsidRPr="004321D8">
        <w:t>Plos</w:t>
      </w:r>
      <w:proofErr w:type="spellEnd"/>
      <w:r w:rsidRPr="004321D8">
        <w:t xml:space="preserve"> one. 2019;14(4):e0211400. DOI: 10.1371/journal.pone.0211400.</w:t>
      </w:r>
    </w:p>
  </w:footnote>
  <w:footnote w:id="14">
    <w:p w14:paraId="6C13D884" w14:textId="63EA8296" w:rsidR="00F97785" w:rsidRDefault="00F97785">
      <w:pPr>
        <w:pStyle w:val="FootnoteText"/>
      </w:pPr>
      <w:r>
        <w:rPr>
          <w:rStyle w:val="FootnoteReference"/>
        </w:rPr>
        <w:footnoteRef/>
      </w:r>
      <w:r>
        <w:t xml:space="preserve"> </w:t>
      </w:r>
      <w:r w:rsidRPr="00D77208">
        <w:rPr>
          <w:i/>
        </w:rPr>
        <w:t>Adjusted OS hazard ratio: manuscript submitted to European Urology for publication</w:t>
      </w:r>
    </w:p>
  </w:footnote>
  <w:footnote w:id="15">
    <w:p w14:paraId="0896BD0A" w14:textId="77777777" w:rsidR="00F97785" w:rsidRDefault="00F97785" w:rsidP="002F1810">
      <w:pPr>
        <w:pStyle w:val="FootnoteText"/>
      </w:pPr>
      <w:r>
        <w:rPr>
          <w:rStyle w:val="FootnoteReference"/>
        </w:rPr>
        <w:footnoteRef/>
      </w:r>
      <w:r>
        <w:t xml:space="preserve"> </w:t>
      </w:r>
      <w:r w:rsidRPr="003C6D7F">
        <w:t>Hereditary breast and ovarian cancer (germline)</w:t>
      </w:r>
      <w:r>
        <w:t>. Sonic Genetics website.</w:t>
      </w:r>
      <w:r w:rsidRPr="003C6D7F">
        <w:t xml:space="preserve"> </w:t>
      </w:r>
      <w:r>
        <w:t xml:space="preserve">Accessed February 9, 2021. </w:t>
      </w:r>
      <w:r w:rsidRPr="003C6D7F">
        <w:t>https://www.sonicgenetics.com.au/our-tests/all-tests/hereditary-breast-and-ovarian-cancer-germline</w:t>
      </w:r>
    </w:p>
  </w:footnote>
  <w:footnote w:id="16">
    <w:p w14:paraId="19DED092" w14:textId="77777777" w:rsidR="00F97785" w:rsidRPr="009010C8" w:rsidRDefault="00F97785" w:rsidP="002F1810">
      <w:pPr>
        <w:pStyle w:val="FootnoteText"/>
      </w:pPr>
      <w:r>
        <w:rPr>
          <w:rStyle w:val="FootnoteReference"/>
        </w:rPr>
        <w:footnoteRef/>
      </w:r>
      <w:r w:rsidRPr="00D2311D">
        <w:t xml:space="preserve"> </w:t>
      </w:r>
      <w:proofErr w:type="spellStart"/>
      <w:r w:rsidRPr="00D2311D">
        <w:t>Abida</w:t>
      </w:r>
      <w:proofErr w:type="spellEnd"/>
      <w:r w:rsidRPr="00D2311D">
        <w:t xml:space="preserve"> W et al. Profiling of Prostate Cancer Across Disease States Reveals Germline and Somatic</w:t>
      </w:r>
      <w:r>
        <w:t xml:space="preserve"> </w:t>
      </w:r>
      <w:r w:rsidRPr="00D2311D">
        <w:t xml:space="preserve">Alterations That May Affect Clinical Decision Making. </w:t>
      </w:r>
      <w:r w:rsidRPr="009010C8">
        <w:t xml:space="preserve">JCO Precis Oncol. 2017 Jul;2017:PO.17.00029. </w:t>
      </w:r>
    </w:p>
  </w:footnote>
  <w:footnote w:id="17">
    <w:p w14:paraId="13F443C3" w14:textId="64AA0C28" w:rsidR="00F97785" w:rsidRDefault="00F97785" w:rsidP="002F1810">
      <w:pPr>
        <w:pStyle w:val="FootnoteText"/>
      </w:pPr>
      <w:r>
        <w:rPr>
          <w:rStyle w:val="FootnoteReference"/>
        </w:rPr>
        <w:footnoteRef/>
      </w:r>
      <w:r>
        <w:t xml:space="preserve"> </w:t>
      </w:r>
      <w:r w:rsidRPr="00907A73">
        <w:t xml:space="preserve">Lang SH, Swift SL, White H, </w:t>
      </w:r>
      <w:proofErr w:type="spellStart"/>
      <w:r w:rsidRPr="00907A73">
        <w:t>Misso</w:t>
      </w:r>
      <w:proofErr w:type="spellEnd"/>
      <w:r w:rsidRPr="00907A73">
        <w:t xml:space="preserve"> K, </w:t>
      </w:r>
      <w:proofErr w:type="spellStart"/>
      <w:r w:rsidRPr="00907A73">
        <w:t>Kleijnen</w:t>
      </w:r>
      <w:proofErr w:type="spellEnd"/>
      <w:r w:rsidRPr="00907A73">
        <w:t xml:space="preserve"> J, Quek RGW. A systematic review of the prevalence of DNA damage response gene mutations in prostate cancer. Int J Oncol. 2019;55(3):597-616. doi:10.3892/ijo.2019.4842</w:t>
      </w:r>
    </w:p>
  </w:footnote>
  <w:footnote w:id="18">
    <w:p w14:paraId="1CD857B3" w14:textId="77777777" w:rsidR="00F97785" w:rsidRDefault="00F97785" w:rsidP="002F1810">
      <w:pPr>
        <w:pStyle w:val="FootnoteText"/>
      </w:pPr>
      <w:r>
        <w:rPr>
          <w:rStyle w:val="FootnoteReference"/>
        </w:rPr>
        <w:footnoteRef/>
      </w:r>
      <w:r>
        <w:t xml:space="preserve"> Lincoln SE, Nussbaum RL, Kurian AW, Nielsen SM, Das K, Michalski S, Yang S, </w:t>
      </w:r>
      <w:r w:rsidRPr="001800B3">
        <w:t xml:space="preserve">Ngo N, Blanco A, Esplin ED. </w:t>
      </w:r>
      <w:r>
        <w:t xml:space="preserve">Yield and Utility of Germline Testing Following </w:t>
      </w:r>
      <w:proofErr w:type="spellStart"/>
      <w:r>
        <w:t>Tumor</w:t>
      </w:r>
      <w:proofErr w:type="spellEnd"/>
      <w:r>
        <w:t xml:space="preserve"> Sequencing in Patients With Cancer. JAMA </w:t>
      </w:r>
      <w:proofErr w:type="spellStart"/>
      <w:r>
        <w:t>Netw</w:t>
      </w:r>
      <w:proofErr w:type="spellEnd"/>
      <w:r>
        <w:t xml:space="preserve"> Open. 2020 Oct 1;3(10):e2019452. </w:t>
      </w:r>
      <w:proofErr w:type="spellStart"/>
      <w:r>
        <w:t>doi</w:t>
      </w:r>
      <w:proofErr w:type="spellEnd"/>
      <w:r>
        <w:t>: 10.1001/jamanetworkopen.2020.19452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A1F10"/>
    <w:multiLevelType w:val="hybridMultilevel"/>
    <w:tmpl w:val="C144EA82"/>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48004C"/>
    <w:multiLevelType w:val="hybridMultilevel"/>
    <w:tmpl w:val="28FE052A"/>
    <w:lvl w:ilvl="0" w:tplc="DBFA83DC">
      <w:start w:val="1"/>
      <w:numFmt w:val="bullet"/>
      <w:lvlText w:val=""/>
      <w:lvlJc w:val="left"/>
      <w:pPr>
        <w:tabs>
          <w:tab w:val="num" w:pos="1080"/>
        </w:tabs>
        <w:ind w:left="1080" w:hanging="360"/>
      </w:pPr>
      <w:rPr>
        <w:rFonts w:ascii="Symbol" w:hAnsi="Symbol" w:hint="default"/>
        <w:color w:val="auto"/>
        <w:sz w:val="22"/>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EC3115E"/>
    <w:multiLevelType w:val="hybridMultilevel"/>
    <w:tmpl w:val="04D4AE64"/>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 w15:restartNumberingAfterBreak="0">
    <w:nsid w:val="0FC65D09"/>
    <w:multiLevelType w:val="hybridMultilevel"/>
    <w:tmpl w:val="8F1A6EFA"/>
    <w:lvl w:ilvl="0" w:tplc="CE66D59E">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066A5B"/>
    <w:multiLevelType w:val="hybridMultilevel"/>
    <w:tmpl w:val="4D2C1A20"/>
    <w:lvl w:ilvl="0" w:tplc="0C09000F">
      <w:start w:val="8"/>
      <w:numFmt w:val="decimal"/>
      <w:lvlText w:val="%1."/>
      <w:lvlJc w:val="left"/>
      <w:pPr>
        <w:ind w:left="720" w:hanging="360"/>
      </w:pPr>
      <w:rPr>
        <w:rFonts w:cs="Times New Roman" w:hint="default"/>
      </w:rPr>
    </w:lvl>
    <w:lvl w:ilvl="1" w:tplc="90407CA0">
      <w:numFmt w:val="bullet"/>
      <w:lvlText w:val="•"/>
      <w:lvlJc w:val="left"/>
      <w:pPr>
        <w:ind w:left="1440" w:hanging="360"/>
      </w:pPr>
      <w:rPr>
        <w:rFonts w:ascii="Times New Roman" w:eastAsia="Times New Roman" w:hAnsi="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AEA2809"/>
    <w:multiLevelType w:val="hybridMultilevel"/>
    <w:tmpl w:val="F2F2E38C"/>
    <w:lvl w:ilvl="0" w:tplc="FB06DE0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783284"/>
    <w:multiLevelType w:val="hybridMultilevel"/>
    <w:tmpl w:val="4CBEA97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 w15:restartNumberingAfterBreak="0">
    <w:nsid w:val="25AE421E"/>
    <w:multiLevelType w:val="hybridMultilevel"/>
    <w:tmpl w:val="0630CA5C"/>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1F2D70"/>
    <w:multiLevelType w:val="hybridMultilevel"/>
    <w:tmpl w:val="CF8A6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7A7D18"/>
    <w:multiLevelType w:val="hybridMultilevel"/>
    <w:tmpl w:val="00865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7B54856"/>
    <w:multiLevelType w:val="hybridMultilevel"/>
    <w:tmpl w:val="C25AA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BD3324"/>
    <w:multiLevelType w:val="hybridMultilevel"/>
    <w:tmpl w:val="77B85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C52461"/>
    <w:multiLevelType w:val="hybridMultilevel"/>
    <w:tmpl w:val="A2147C00"/>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123FED"/>
    <w:multiLevelType w:val="hybridMultilevel"/>
    <w:tmpl w:val="6F300BE4"/>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9300A29"/>
    <w:multiLevelType w:val="hybridMultilevel"/>
    <w:tmpl w:val="022EEF64"/>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6C221D"/>
    <w:multiLevelType w:val="hybridMultilevel"/>
    <w:tmpl w:val="09CC5918"/>
    <w:lvl w:ilvl="0" w:tplc="0C090001">
      <w:start w:val="1"/>
      <w:numFmt w:val="bullet"/>
      <w:lvlText w:val=""/>
      <w:lvlJc w:val="left"/>
      <w:pPr>
        <w:ind w:left="644" w:hanging="360"/>
      </w:pPr>
      <w:rPr>
        <w:rFonts w:ascii="Symbol" w:hAnsi="Symbol" w:hint="default"/>
      </w:rPr>
    </w:lvl>
    <w:lvl w:ilvl="1" w:tplc="B7A2454C">
      <w:start w:val="1"/>
      <w:numFmt w:val="bullet"/>
      <w:lvlText w:val="-"/>
      <w:lvlJc w:val="left"/>
      <w:pPr>
        <w:ind w:left="1364" w:hanging="360"/>
      </w:pPr>
      <w:rPr>
        <w:rFonts w:ascii="Courier New" w:hAnsi="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15:restartNumberingAfterBreak="0">
    <w:nsid w:val="4F941558"/>
    <w:multiLevelType w:val="hybridMultilevel"/>
    <w:tmpl w:val="E99CCDC8"/>
    <w:lvl w:ilvl="0" w:tplc="186429E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1768B9"/>
    <w:multiLevelType w:val="hybridMultilevel"/>
    <w:tmpl w:val="B92A3038"/>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3732E7E"/>
    <w:multiLevelType w:val="hybridMultilevel"/>
    <w:tmpl w:val="CDE66F0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0" w15:restartNumberingAfterBreak="0">
    <w:nsid w:val="56473681"/>
    <w:multiLevelType w:val="hybridMultilevel"/>
    <w:tmpl w:val="40C4F14E"/>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DE62CB"/>
    <w:multiLevelType w:val="hybridMultilevel"/>
    <w:tmpl w:val="BA98FA6A"/>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666045"/>
    <w:multiLevelType w:val="hybridMultilevel"/>
    <w:tmpl w:val="22B0351A"/>
    <w:lvl w:ilvl="0" w:tplc="0409000F">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F6E3F10"/>
    <w:multiLevelType w:val="hybridMultilevel"/>
    <w:tmpl w:val="AAFE4FC2"/>
    <w:lvl w:ilvl="0" w:tplc="DBFA83DC">
      <w:start w:val="1"/>
      <w:numFmt w:val="bullet"/>
      <w:lvlText w:val=""/>
      <w:lvlJc w:val="left"/>
      <w:pPr>
        <w:tabs>
          <w:tab w:val="num" w:pos="360"/>
        </w:tabs>
        <w:ind w:left="360" w:hanging="360"/>
      </w:pPr>
      <w:rPr>
        <w:rFonts w:ascii="Symbol" w:hAnsi="Symbol" w:hint="default"/>
        <w:color w:val="auto"/>
        <w:sz w:val="22"/>
      </w:rPr>
    </w:lvl>
    <w:lvl w:ilvl="1" w:tplc="04090019">
      <w:start w:val="1"/>
      <w:numFmt w:val="lowerLetter"/>
      <w:lvlText w:val="%2."/>
      <w:lvlJc w:val="left"/>
      <w:pPr>
        <w:tabs>
          <w:tab w:val="num" w:pos="1080"/>
        </w:tabs>
        <w:ind w:left="1080" w:hanging="360"/>
      </w:pPr>
      <w:rPr>
        <w:rFonts w:cs="Times New Roman"/>
      </w:rPr>
    </w:lvl>
    <w:lvl w:ilvl="2" w:tplc="DBFA83DC">
      <w:start w:val="1"/>
      <w:numFmt w:val="bullet"/>
      <w:lvlText w:val=""/>
      <w:lvlJc w:val="left"/>
      <w:pPr>
        <w:tabs>
          <w:tab w:val="num" w:pos="360"/>
        </w:tabs>
        <w:ind w:left="360" w:hanging="360"/>
      </w:pPr>
      <w:rPr>
        <w:rFonts w:ascii="Symbol" w:hAnsi="Symbol" w:hint="default"/>
        <w:color w:val="auto"/>
        <w:sz w:val="22"/>
      </w:rPr>
    </w:lvl>
    <w:lvl w:ilvl="3" w:tplc="DBFA83DC">
      <w:start w:val="1"/>
      <w:numFmt w:val="bullet"/>
      <w:lvlText w:val=""/>
      <w:lvlJc w:val="left"/>
      <w:pPr>
        <w:tabs>
          <w:tab w:val="num" w:pos="360"/>
        </w:tabs>
        <w:ind w:left="360" w:hanging="360"/>
      </w:pPr>
      <w:rPr>
        <w:rFonts w:ascii="Symbol" w:hAnsi="Symbol" w:hint="default"/>
        <w:color w:val="auto"/>
        <w:sz w:val="22"/>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63FD3542"/>
    <w:multiLevelType w:val="hybridMultilevel"/>
    <w:tmpl w:val="EC925B1C"/>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5853F9"/>
    <w:multiLevelType w:val="hybridMultilevel"/>
    <w:tmpl w:val="286866AA"/>
    <w:lvl w:ilvl="0" w:tplc="FB06DE06">
      <w:start w:val="3"/>
      <w:numFmt w:val="decimal"/>
      <w:lvlText w:val="%1."/>
      <w:lvlJc w:val="left"/>
      <w:pPr>
        <w:tabs>
          <w:tab w:val="num" w:pos="1080"/>
        </w:tabs>
        <w:ind w:left="1080" w:hanging="720"/>
      </w:pPr>
      <w:rPr>
        <w:rFonts w:cs="Times New Roman" w:hint="default"/>
      </w:rPr>
    </w:lvl>
    <w:lvl w:ilvl="1" w:tplc="72A82E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68C5138"/>
    <w:multiLevelType w:val="hybridMultilevel"/>
    <w:tmpl w:val="17102830"/>
    <w:lvl w:ilvl="0" w:tplc="BBBEF836">
      <w:start w:val="1"/>
      <w:numFmt w:val="bullet"/>
      <w:lvlText w:val=""/>
      <w:lvlJc w:val="left"/>
      <w:pPr>
        <w:tabs>
          <w:tab w:val="num" w:pos="360"/>
        </w:tabs>
        <w:ind w:left="360" w:hanging="360"/>
      </w:pPr>
      <w:rPr>
        <w:rFonts w:ascii="Symbol" w:hAnsi="Symbol" w:hint="default"/>
        <w:color w:val="auto"/>
      </w:rPr>
    </w:lvl>
    <w:lvl w:ilvl="1" w:tplc="72A82EDE">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673F3A13"/>
    <w:multiLevelType w:val="hybridMultilevel"/>
    <w:tmpl w:val="64300D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6A797C3B"/>
    <w:multiLevelType w:val="hybridMultilevel"/>
    <w:tmpl w:val="7928835A"/>
    <w:lvl w:ilvl="0" w:tplc="BBBEF83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143F8A"/>
    <w:multiLevelType w:val="hybridMultilevel"/>
    <w:tmpl w:val="9AF2BD2E"/>
    <w:lvl w:ilvl="0" w:tplc="69B0DAB4">
      <w:start w:val="1"/>
      <w:numFmt w:val="bullet"/>
      <w:lvlText w:val=""/>
      <w:lvlJc w:val="left"/>
      <w:pPr>
        <w:tabs>
          <w:tab w:val="num" w:pos="1080"/>
        </w:tabs>
        <w:ind w:left="1080" w:hanging="360"/>
      </w:pPr>
      <w:rPr>
        <w:rFonts w:ascii="Symbol" w:hAnsi="Symbol" w:hint="default"/>
        <w:color w:val="auto"/>
        <w:sz w:val="22"/>
      </w:rPr>
    </w:lvl>
    <w:lvl w:ilvl="1" w:tplc="69B0DAB4">
      <w:start w:val="1"/>
      <w:numFmt w:val="bullet"/>
      <w:lvlText w:val=""/>
      <w:lvlJc w:val="left"/>
      <w:pPr>
        <w:tabs>
          <w:tab w:val="num" w:pos="1800"/>
        </w:tabs>
        <w:ind w:left="1800" w:hanging="360"/>
      </w:pPr>
      <w:rPr>
        <w:rFonts w:ascii="Symbol" w:hAnsi="Symbol" w:hint="default"/>
        <w:color w:val="auto"/>
        <w:sz w:val="22"/>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0" w15:restartNumberingAfterBreak="0">
    <w:nsid w:val="784D033C"/>
    <w:multiLevelType w:val="multilevel"/>
    <w:tmpl w:val="BB14656C"/>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720" w:hanging="720"/>
      </w:pPr>
      <w:rPr>
        <w:rFonts w:hint="default"/>
        <w:i w:val="0"/>
        <w:color w:val="auto"/>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9632977"/>
    <w:multiLevelType w:val="hybridMultilevel"/>
    <w:tmpl w:val="DAFA6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BC358B"/>
    <w:multiLevelType w:val="hybridMultilevel"/>
    <w:tmpl w:val="C9322508"/>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8"/>
  </w:num>
  <w:num w:numId="3">
    <w:abstractNumId w:val="1"/>
  </w:num>
  <w:num w:numId="4">
    <w:abstractNumId w:val="21"/>
  </w:num>
  <w:num w:numId="5">
    <w:abstractNumId w:val="13"/>
  </w:num>
  <w:num w:numId="6">
    <w:abstractNumId w:val="20"/>
  </w:num>
  <w:num w:numId="7">
    <w:abstractNumId w:val="24"/>
  </w:num>
  <w:num w:numId="8">
    <w:abstractNumId w:val="14"/>
  </w:num>
  <w:num w:numId="9">
    <w:abstractNumId w:val="32"/>
  </w:num>
  <w:num w:numId="10">
    <w:abstractNumId w:val="0"/>
  </w:num>
  <w:num w:numId="11">
    <w:abstractNumId w:val="23"/>
  </w:num>
  <w:num w:numId="12">
    <w:abstractNumId w:val="25"/>
  </w:num>
  <w:num w:numId="13">
    <w:abstractNumId w:val="5"/>
  </w:num>
  <w:num w:numId="14">
    <w:abstractNumId w:val="29"/>
  </w:num>
  <w:num w:numId="15">
    <w:abstractNumId w:val="22"/>
  </w:num>
  <w:num w:numId="16">
    <w:abstractNumId w:val="26"/>
  </w:num>
  <w:num w:numId="17">
    <w:abstractNumId w:val="15"/>
  </w:num>
  <w:num w:numId="18">
    <w:abstractNumId w:val="17"/>
  </w:num>
  <w:num w:numId="19">
    <w:abstractNumId w:val="28"/>
  </w:num>
  <w:num w:numId="20">
    <w:abstractNumId w:val="27"/>
  </w:num>
  <w:num w:numId="21">
    <w:abstractNumId w:val="4"/>
  </w:num>
  <w:num w:numId="22">
    <w:abstractNumId w:val="11"/>
  </w:num>
  <w:num w:numId="23">
    <w:abstractNumId w:val="3"/>
  </w:num>
  <w:num w:numId="24">
    <w:abstractNumId w:val="10"/>
  </w:num>
  <w:num w:numId="25">
    <w:abstractNumId w:val="6"/>
  </w:num>
  <w:num w:numId="26">
    <w:abstractNumId w:val="12"/>
  </w:num>
  <w:num w:numId="27">
    <w:abstractNumId w:val="31"/>
  </w:num>
  <w:num w:numId="28">
    <w:abstractNumId w:val="9"/>
  </w:num>
  <w:num w:numId="29">
    <w:abstractNumId w:val="16"/>
  </w:num>
  <w:num w:numId="30">
    <w:abstractNumId w:val="19"/>
  </w:num>
  <w:num w:numId="31">
    <w:abstractNumId w:val="30"/>
  </w:num>
  <w:num w:numId="32">
    <w:abstractNumId w:val="7"/>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623"/>
    <w:rsid w:val="000063D0"/>
    <w:rsid w:val="00007312"/>
    <w:rsid w:val="00011A36"/>
    <w:rsid w:val="00012E8B"/>
    <w:rsid w:val="0001311B"/>
    <w:rsid w:val="00017848"/>
    <w:rsid w:val="000317F2"/>
    <w:rsid w:val="00047606"/>
    <w:rsid w:val="00047B07"/>
    <w:rsid w:val="00065623"/>
    <w:rsid w:val="000663AA"/>
    <w:rsid w:val="000756B9"/>
    <w:rsid w:val="00096B67"/>
    <w:rsid w:val="00096DAF"/>
    <w:rsid w:val="000A5B4A"/>
    <w:rsid w:val="000B4CA7"/>
    <w:rsid w:val="000C2A91"/>
    <w:rsid w:val="000C2F47"/>
    <w:rsid w:val="000C3B2C"/>
    <w:rsid w:val="000D17E8"/>
    <w:rsid w:val="000D2B9A"/>
    <w:rsid w:val="000D6C00"/>
    <w:rsid w:val="000E4E04"/>
    <w:rsid w:val="000F14B4"/>
    <w:rsid w:val="000F4774"/>
    <w:rsid w:val="000F75DF"/>
    <w:rsid w:val="001023DC"/>
    <w:rsid w:val="00115449"/>
    <w:rsid w:val="0012065D"/>
    <w:rsid w:val="0012086B"/>
    <w:rsid w:val="00123291"/>
    <w:rsid w:val="0012334C"/>
    <w:rsid w:val="001328FA"/>
    <w:rsid w:val="00144C17"/>
    <w:rsid w:val="00147AAF"/>
    <w:rsid w:val="001552C0"/>
    <w:rsid w:val="001640B1"/>
    <w:rsid w:val="0017384C"/>
    <w:rsid w:val="001809D3"/>
    <w:rsid w:val="0018435E"/>
    <w:rsid w:val="00187C57"/>
    <w:rsid w:val="0019376D"/>
    <w:rsid w:val="001A43AB"/>
    <w:rsid w:val="001C1D73"/>
    <w:rsid w:val="001D1B15"/>
    <w:rsid w:val="001D28DC"/>
    <w:rsid w:val="001E5BFC"/>
    <w:rsid w:val="0020302E"/>
    <w:rsid w:val="002041A1"/>
    <w:rsid w:val="002054F0"/>
    <w:rsid w:val="0022043C"/>
    <w:rsid w:val="00230D6B"/>
    <w:rsid w:val="00232068"/>
    <w:rsid w:val="002330F2"/>
    <w:rsid w:val="00240E11"/>
    <w:rsid w:val="00243D9E"/>
    <w:rsid w:val="00253B66"/>
    <w:rsid w:val="00260AE1"/>
    <w:rsid w:val="00261DF1"/>
    <w:rsid w:val="002641E8"/>
    <w:rsid w:val="00265DF4"/>
    <w:rsid w:val="00271F18"/>
    <w:rsid w:val="0027705F"/>
    <w:rsid w:val="00282779"/>
    <w:rsid w:val="0028334D"/>
    <w:rsid w:val="002855A0"/>
    <w:rsid w:val="00295B15"/>
    <w:rsid w:val="002B7FFA"/>
    <w:rsid w:val="002C2BCF"/>
    <w:rsid w:val="002F1810"/>
    <w:rsid w:val="002F279D"/>
    <w:rsid w:val="002F43B8"/>
    <w:rsid w:val="00304103"/>
    <w:rsid w:val="00327FC9"/>
    <w:rsid w:val="00332006"/>
    <w:rsid w:val="00336856"/>
    <w:rsid w:val="0034554D"/>
    <w:rsid w:val="00352224"/>
    <w:rsid w:val="00360CB8"/>
    <w:rsid w:val="003671E6"/>
    <w:rsid w:val="00376649"/>
    <w:rsid w:val="0038228F"/>
    <w:rsid w:val="00384272"/>
    <w:rsid w:val="00386D67"/>
    <w:rsid w:val="003945B8"/>
    <w:rsid w:val="003B2B84"/>
    <w:rsid w:val="003D117A"/>
    <w:rsid w:val="003D7F29"/>
    <w:rsid w:val="00405A6B"/>
    <w:rsid w:val="00405A7B"/>
    <w:rsid w:val="00407B1F"/>
    <w:rsid w:val="0041184F"/>
    <w:rsid w:val="00411BF4"/>
    <w:rsid w:val="00414C57"/>
    <w:rsid w:val="0041758C"/>
    <w:rsid w:val="004250DD"/>
    <w:rsid w:val="00452139"/>
    <w:rsid w:val="004539DE"/>
    <w:rsid w:val="004600A8"/>
    <w:rsid w:val="00461B71"/>
    <w:rsid w:val="00474EA2"/>
    <w:rsid w:val="00474EEB"/>
    <w:rsid w:val="0048112F"/>
    <w:rsid w:val="00485035"/>
    <w:rsid w:val="00491386"/>
    <w:rsid w:val="004967B0"/>
    <w:rsid w:val="004A2CF1"/>
    <w:rsid w:val="004A4CC2"/>
    <w:rsid w:val="004A4D40"/>
    <w:rsid w:val="004C25E1"/>
    <w:rsid w:val="004C3035"/>
    <w:rsid w:val="004C307F"/>
    <w:rsid w:val="004D1D85"/>
    <w:rsid w:val="004D1E22"/>
    <w:rsid w:val="004E4BA8"/>
    <w:rsid w:val="004F340F"/>
    <w:rsid w:val="004F7B7C"/>
    <w:rsid w:val="005029BF"/>
    <w:rsid w:val="005043F8"/>
    <w:rsid w:val="005111F4"/>
    <w:rsid w:val="005223D2"/>
    <w:rsid w:val="0052243D"/>
    <w:rsid w:val="00532435"/>
    <w:rsid w:val="00533D88"/>
    <w:rsid w:val="0054037B"/>
    <w:rsid w:val="00550354"/>
    <w:rsid w:val="00551936"/>
    <w:rsid w:val="00571236"/>
    <w:rsid w:val="005953A1"/>
    <w:rsid w:val="005A4362"/>
    <w:rsid w:val="005B487D"/>
    <w:rsid w:val="005B5434"/>
    <w:rsid w:val="005B737C"/>
    <w:rsid w:val="005D0332"/>
    <w:rsid w:val="005D0D8C"/>
    <w:rsid w:val="006049B9"/>
    <w:rsid w:val="00621DD5"/>
    <w:rsid w:val="0062668C"/>
    <w:rsid w:val="00641531"/>
    <w:rsid w:val="006501DB"/>
    <w:rsid w:val="00650F06"/>
    <w:rsid w:val="0065477E"/>
    <w:rsid w:val="00663ECB"/>
    <w:rsid w:val="006658BB"/>
    <w:rsid w:val="00667FCD"/>
    <w:rsid w:val="00675031"/>
    <w:rsid w:val="006776AE"/>
    <w:rsid w:val="006A0D97"/>
    <w:rsid w:val="006B0FEE"/>
    <w:rsid w:val="006B1F86"/>
    <w:rsid w:val="006B6B9E"/>
    <w:rsid w:val="006C0A91"/>
    <w:rsid w:val="006C2E0B"/>
    <w:rsid w:val="006C71F8"/>
    <w:rsid w:val="006D6520"/>
    <w:rsid w:val="00704924"/>
    <w:rsid w:val="007054BB"/>
    <w:rsid w:val="00705D74"/>
    <w:rsid w:val="00707064"/>
    <w:rsid w:val="00714025"/>
    <w:rsid w:val="00720DC4"/>
    <w:rsid w:val="00726B33"/>
    <w:rsid w:val="00730683"/>
    <w:rsid w:val="00751F85"/>
    <w:rsid w:val="0075261F"/>
    <w:rsid w:val="0075468E"/>
    <w:rsid w:val="007665D8"/>
    <w:rsid w:val="00766E36"/>
    <w:rsid w:val="00770205"/>
    <w:rsid w:val="007765F4"/>
    <w:rsid w:val="00776633"/>
    <w:rsid w:val="00784D53"/>
    <w:rsid w:val="00793A86"/>
    <w:rsid w:val="00793D2C"/>
    <w:rsid w:val="00795212"/>
    <w:rsid w:val="00797797"/>
    <w:rsid w:val="007A4DA0"/>
    <w:rsid w:val="007A63C9"/>
    <w:rsid w:val="007B1AB6"/>
    <w:rsid w:val="007B32D1"/>
    <w:rsid w:val="007B57FB"/>
    <w:rsid w:val="007B7095"/>
    <w:rsid w:val="007C2DC0"/>
    <w:rsid w:val="007D24E1"/>
    <w:rsid w:val="007D2BE8"/>
    <w:rsid w:val="007D6288"/>
    <w:rsid w:val="007D63F2"/>
    <w:rsid w:val="007D64BB"/>
    <w:rsid w:val="007F4CE9"/>
    <w:rsid w:val="007F4E20"/>
    <w:rsid w:val="007F5525"/>
    <w:rsid w:val="007F6E58"/>
    <w:rsid w:val="00822C7E"/>
    <w:rsid w:val="00835929"/>
    <w:rsid w:val="008423D9"/>
    <w:rsid w:val="00847060"/>
    <w:rsid w:val="00847A36"/>
    <w:rsid w:val="00856A33"/>
    <w:rsid w:val="00857836"/>
    <w:rsid w:val="00861650"/>
    <w:rsid w:val="00865516"/>
    <w:rsid w:val="00876076"/>
    <w:rsid w:val="008830F2"/>
    <w:rsid w:val="0088747D"/>
    <w:rsid w:val="00892620"/>
    <w:rsid w:val="0089581E"/>
    <w:rsid w:val="008C07C8"/>
    <w:rsid w:val="008C383B"/>
    <w:rsid w:val="008C5595"/>
    <w:rsid w:val="008C778E"/>
    <w:rsid w:val="008C7D37"/>
    <w:rsid w:val="008D1722"/>
    <w:rsid w:val="008D5885"/>
    <w:rsid w:val="008E689B"/>
    <w:rsid w:val="008F1E4F"/>
    <w:rsid w:val="008F4952"/>
    <w:rsid w:val="008F60C0"/>
    <w:rsid w:val="00905593"/>
    <w:rsid w:val="009120C4"/>
    <w:rsid w:val="00923FA2"/>
    <w:rsid w:val="009240BF"/>
    <w:rsid w:val="00925766"/>
    <w:rsid w:val="009368C9"/>
    <w:rsid w:val="00940B7B"/>
    <w:rsid w:val="0094152D"/>
    <w:rsid w:val="0095117E"/>
    <w:rsid w:val="0096060D"/>
    <w:rsid w:val="00967E1B"/>
    <w:rsid w:val="00974A50"/>
    <w:rsid w:val="0097585A"/>
    <w:rsid w:val="00976BE9"/>
    <w:rsid w:val="009773E5"/>
    <w:rsid w:val="00980527"/>
    <w:rsid w:val="00980FC1"/>
    <w:rsid w:val="00990E65"/>
    <w:rsid w:val="009924B0"/>
    <w:rsid w:val="009942C9"/>
    <w:rsid w:val="009B35C4"/>
    <w:rsid w:val="009C630A"/>
    <w:rsid w:val="009D5CBA"/>
    <w:rsid w:val="009E0D98"/>
    <w:rsid w:val="009F1CE9"/>
    <w:rsid w:val="00A068A1"/>
    <w:rsid w:val="00A1207D"/>
    <w:rsid w:val="00A12FD8"/>
    <w:rsid w:val="00A346FC"/>
    <w:rsid w:val="00A4001E"/>
    <w:rsid w:val="00A45BFA"/>
    <w:rsid w:val="00A46D77"/>
    <w:rsid w:val="00A5431A"/>
    <w:rsid w:val="00A6376C"/>
    <w:rsid w:val="00A84577"/>
    <w:rsid w:val="00A846F2"/>
    <w:rsid w:val="00A84F93"/>
    <w:rsid w:val="00A90C1E"/>
    <w:rsid w:val="00A952D9"/>
    <w:rsid w:val="00AB12B2"/>
    <w:rsid w:val="00AB1AC5"/>
    <w:rsid w:val="00AB3BFC"/>
    <w:rsid w:val="00AB5518"/>
    <w:rsid w:val="00AB5E46"/>
    <w:rsid w:val="00AC4F2E"/>
    <w:rsid w:val="00AD0C37"/>
    <w:rsid w:val="00AD385F"/>
    <w:rsid w:val="00AD3D5C"/>
    <w:rsid w:val="00AE5405"/>
    <w:rsid w:val="00AE6E2A"/>
    <w:rsid w:val="00B03EAB"/>
    <w:rsid w:val="00B30C79"/>
    <w:rsid w:val="00B31E9C"/>
    <w:rsid w:val="00B35595"/>
    <w:rsid w:val="00B479B3"/>
    <w:rsid w:val="00B51C6D"/>
    <w:rsid w:val="00B57167"/>
    <w:rsid w:val="00B63DC2"/>
    <w:rsid w:val="00B83DD2"/>
    <w:rsid w:val="00B86D64"/>
    <w:rsid w:val="00BA4AC5"/>
    <w:rsid w:val="00BB2F7E"/>
    <w:rsid w:val="00BC00C6"/>
    <w:rsid w:val="00BC1364"/>
    <w:rsid w:val="00BC2667"/>
    <w:rsid w:val="00BC7DE9"/>
    <w:rsid w:val="00BE2A44"/>
    <w:rsid w:val="00BF479B"/>
    <w:rsid w:val="00C02577"/>
    <w:rsid w:val="00C049B3"/>
    <w:rsid w:val="00C06B0B"/>
    <w:rsid w:val="00C15BE1"/>
    <w:rsid w:val="00C204FB"/>
    <w:rsid w:val="00C20BEE"/>
    <w:rsid w:val="00C2158D"/>
    <w:rsid w:val="00C33323"/>
    <w:rsid w:val="00C65E8E"/>
    <w:rsid w:val="00C67DD2"/>
    <w:rsid w:val="00C725CB"/>
    <w:rsid w:val="00C76F5C"/>
    <w:rsid w:val="00C93AD6"/>
    <w:rsid w:val="00C96BAD"/>
    <w:rsid w:val="00C975CC"/>
    <w:rsid w:val="00CA0C73"/>
    <w:rsid w:val="00CA6944"/>
    <w:rsid w:val="00CB0F8E"/>
    <w:rsid w:val="00CB7E7D"/>
    <w:rsid w:val="00CC2911"/>
    <w:rsid w:val="00CC3EAF"/>
    <w:rsid w:val="00CD0598"/>
    <w:rsid w:val="00CD5BF3"/>
    <w:rsid w:val="00CF0C6D"/>
    <w:rsid w:val="00CF4E81"/>
    <w:rsid w:val="00CF7307"/>
    <w:rsid w:val="00CF7C68"/>
    <w:rsid w:val="00D01633"/>
    <w:rsid w:val="00D124FA"/>
    <w:rsid w:val="00D128E3"/>
    <w:rsid w:val="00D269E3"/>
    <w:rsid w:val="00D315F8"/>
    <w:rsid w:val="00D340DE"/>
    <w:rsid w:val="00D55723"/>
    <w:rsid w:val="00D5742E"/>
    <w:rsid w:val="00D62FAD"/>
    <w:rsid w:val="00D64355"/>
    <w:rsid w:val="00D70450"/>
    <w:rsid w:val="00D77208"/>
    <w:rsid w:val="00D811AD"/>
    <w:rsid w:val="00D83BFD"/>
    <w:rsid w:val="00D90A38"/>
    <w:rsid w:val="00D95739"/>
    <w:rsid w:val="00DA0515"/>
    <w:rsid w:val="00DA171E"/>
    <w:rsid w:val="00DA4ADF"/>
    <w:rsid w:val="00DA56AA"/>
    <w:rsid w:val="00DB1642"/>
    <w:rsid w:val="00DB5833"/>
    <w:rsid w:val="00DD13A3"/>
    <w:rsid w:val="00DD2858"/>
    <w:rsid w:val="00DD7F82"/>
    <w:rsid w:val="00DF489D"/>
    <w:rsid w:val="00E01766"/>
    <w:rsid w:val="00E03E33"/>
    <w:rsid w:val="00E059E0"/>
    <w:rsid w:val="00E1123D"/>
    <w:rsid w:val="00E31971"/>
    <w:rsid w:val="00E3642A"/>
    <w:rsid w:val="00E370C0"/>
    <w:rsid w:val="00E415C4"/>
    <w:rsid w:val="00E50016"/>
    <w:rsid w:val="00E502CE"/>
    <w:rsid w:val="00E50EAA"/>
    <w:rsid w:val="00E656D6"/>
    <w:rsid w:val="00E76EF1"/>
    <w:rsid w:val="00E977EE"/>
    <w:rsid w:val="00EA0741"/>
    <w:rsid w:val="00EA2F24"/>
    <w:rsid w:val="00EA5C0E"/>
    <w:rsid w:val="00EA67A2"/>
    <w:rsid w:val="00EB35F1"/>
    <w:rsid w:val="00EB630F"/>
    <w:rsid w:val="00EB6B6F"/>
    <w:rsid w:val="00EC4F98"/>
    <w:rsid w:val="00EC6CB9"/>
    <w:rsid w:val="00ED734D"/>
    <w:rsid w:val="00EF56E2"/>
    <w:rsid w:val="00EF656D"/>
    <w:rsid w:val="00EF74B4"/>
    <w:rsid w:val="00F12F02"/>
    <w:rsid w:val="00F141B2"/>
    <w:rsid w:val="00F32E0D"/>
    <w:rsid w:val="00F35134"/>
    <w:rsid w:val="00F37B9C"/>
    <w:rsid w:val="00F41812"/>
    <w:rsid w:val="00F56D7F"/>
    <w:rsid w:val="00F715D1"/>
    <w:rsid w:val="00F72715"/>
    <w:rsid w:val="00F73333"/>
    <w:rsid w:val="00F74306"/>
    <w:rsid w:val="00F90FEC"/>
    <w:rsid w:val="00F91770"/>
    <w:rsid w:val="00F95D8F"/>
    <w:rsid w:val="00F97785"/>
    <w:rsid w:val="00FB0357"/>
    <w:rsid w:val="00FB350A"/>
    <w:rsid w:val="00FB4C5D"/>
    <w:rsid w:val="00FD6F04"/>
    <w:rsid w:val="00FE1AAB"/>
    <w:rsid w:val="00FE1C3F"/>
    <w:rsid w:val="00FE4383"/>
    <w:rsid w:val="00FE5866"/>
    <w:rsid w:val="00FE68D1"/>
    <w:rsid w:val="00FE731D"/>
    <w:rsid w:val="00FF4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23D60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623"/>
    <w:rPr>
      <w:rFonts w:eastAsia="Times New Roman"/>
      <w:sz w:val="24"/>
      <w:szCs w:val="20"/>
    </w:rPr>
  </w:style>
  <w:style w:type="paragraph" w:styleId="Heading1">
    <w:name w:val="heading 1"/>
    <w:basedOn w:val="Normal"/>
    <w:next w:val="Normal"/>
    <w:link w:val="Heading1Char"/>
    <w:uiPriority w:val="99"/>
    <w:qFormat/>
    <w:rsid w:val="00A846F2"/>
    <w:pPr>
      <w:keepNext/>
      <w:keepLines/>
      <w:numPr>
        <w:numId w:val="23"/>
      </w:numPr>
      <w:spacing w:before="240" w:after="240"/>
      <w:ind w:hanging="720"/>
      <w:outlineLvl w:val="0"/>
    </w:pPr>
    <w:rPr>
      <w:rFonts w:ascii="Arial" w:hAnsi="Arial"/>
      <w:b/>
      <w:bCs/>
      <w:szCs w:val="28"/>
    </w:rPr>
  </w:style>
  <w:style w:type="paragraph" w:styleId="Heading2">
    <w:name w:val="heading 2"/>
    <w:basedOn w:val="Normal"/>
    <w:next w:val="Normal"/>
    <w:link w:val="Heading2Char"/>
    <w:semiHidden/>
    <w:unhideWhenUsed/>
    <w:qFormat/>
    <w:locked/>
    <w:rsid w:val="008D588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46F2"/>
    <w:rPr>
      <w:rFonts w:ascii="Arial" w:eastAsia="Times New Roman" w:hAnsi="Arial"/>
      <w:b/>
      <w:bCs/>
      <w:sz w:val="24"/>
      <w:szCs w:val="28"/>
    </w:rPr>
  </w:style>
  <w:style w:type="character" w:styleId="Hyperlink">
    <w:name w:val="Hyperlink"/>
    <w:basedOn w:val="DefaultParagraphFont"/>
    <w:uiPriority w:val="99"/>
    <w:rsid w:val="00065623"/>
    <w:rPr>
      <w:rFonts w:cs="Times New Roman"/>
      <w:color w:val="0000FF"/>
      <w:u w:val="single"/>
    </w:rPr>
  </w:style>
  <w:style w:type="paragraph" w:styleId="FootnoteText">
    <w:name w:val="footnote text"/>
    <w:basedOn w:val="Normal"/>
    <w:link w:val="FootnoteTextChar"/>
    <w:uiPriority w:val="99"/>
    <w:semiHidden/>
    <w:rsid w:val="00065623"/>
    <w:rPr>
      <w:sz w:val="20"/>
    </w:rPr>
  </w:style>
  <w:style w:type="character" w:customStyle="1" w:styleId="FootnoteTextChar">
    <w:name w:val="Footnote Text Char"/>
    <w:basedOn w:val="DefaultParagraphFont"/>
    <w:link w:val="FootnoteText"/>
    <w:uiPriority w:val="99"/>
    <w:semiHidden/>
    <w:locked/>
    <w:rsid w:val="00065623"/>
    <w:rPr>
      <w:rFonts w:eastAsia="Times New Roman" w:cs="Times New Roman"/>
      <w:sz w:val="20"/>
      <w:szCs w:val="20"/>
      <w:lang w:eastAsia="en-AU"/>
    </w:rPr>
  </w:style>
  <w:style w:type="character" w:styleId="FootnoteReference">
    <w:name w:val="footnote reference"/>
    <w:basedOn w:val="DefaultParagraphFont"/>
    <w:uiPriority w:val="99"/>
    <w:semiHidden/>
    <w:rsid w:val="00065623"/>
    <w:rPr>
      <w:rFonts w:cs="Times New Roman"/>
      <w:vertAlign w:val="superscript"/>
    </w:rPr>
  </w:style>
  <w:style w:type="paragraph" w:styleId="ListParagraph">
    <w:name w:val="List Paragraph"/>
    <w:aliases w:val="PBAC ES Paragraph,Body Text Bullet Points,Numbered para,BulletPoints,List Paragraph1,Bullet point,List Paragraph11,Recommendation,Section heading,Footnote,ES Paragraph,PBAC normal points,Bullet List,Bullet 1,Bullet1,Summary Bullets"/>
    <w:basedOn w:val="Normal"/>
    <w:link w:val="ListParagraphChar"/>
    <w:uiPriority w:val="34"/>
    <w:qFormat/>
    <w:rsid w:val="00065623"/>
    <w:pPr>
      <w:ind w:left="720"/>
      <w:contextualSpacing/>
    </w:pPr>
  </w:style>
  <w:style w:type="paragraph" w:styleId="BalloonText">
    <w:name w:val="Balloon Text"/>
    <w:basedOn w:val="Normal"/>
    <w:link w:val="BalloonTextChar"/>
    <w:uiPriority w:val="99"/>
    <w:semiHidden/>
    <w:rsid w:val="000656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5623"/>
    <w:rPr>
      <w:rFonts w:ascii="Tahoma" w:hAnsi="Tahoma" w:cs="Tahoma"/>
      <w:sz w:val="16"/>
      <w:szCs w:val="16"/>
      <w:lang w:eastAsia="en-AU"/>
    </w:rPr>
  </w:style>
  <w:style w:type="paragraph" w:styleId="Header">
    <w:name w:val="header"/>
    <w:basedOn w:val="Normal"/>
    <w:link w:val="HeaderChar"/>
    <w:uiPriority w:val="99"/>
    <w:rsid w:val="00707064"/>
    <w:pPr>
      <w:tabs>
        <w:tab w:val="center" w:pos="4513"/>
        <w:tab w:val="right" w:pos="9026"/>
      </w:tabs>
    </w:pPr>
  </w:style>
  <w:style w:type="character" w:customStyle="1" w:styleId="HeaderChar">
    <w:name w:val="Header Char"/>
    <w:basedOn w:val="DefaultParagraphFont"/>
    <w:link w:val="Header"/>
    <w:uiPriority w:val="99"/>
    <w:locked/>
    <w:rsid w:val="00707064"/>
    <w:rPr>
      <w:rFonts w:eastAsia="Times New Roman" w:cs="Times New Roman"/>
      <w:sz w:val="20"/>
      <w:szCs w:val="20"/>
      <w:lang w:eastAsia="en-AU"/>
    </w:rPr>
  </w:style>
  <w:style w:type="paragraph" w:styleId="Footer">
    <w:name w:val="footer"/>
    <w:basedOn w:val="Normal"/>
    <w:link w:val="FooterChar"/>
    <w:uiPriority w:val="99"/>
    <w:rsid w:val="00707064"/>
    <w:pPr>
      <w:tabs>
        <w:tab w:val="center" w:pos="4513"/>
        <w:tab w:val="right" w:pos="9026"/>
      </w:tabs>
    </w:pPr>
  </w:style>
  <w:style w:type="character" w:customStyle="1" w:styleId="FooterChar">
    <w:name w:val="Footer Char"/>
    <w:basedOn w:val="DefaultParagraphFont"/>
    <w:link w:val="Footer"/>
    <w:uiPriority w:val="99"/>
    <w:locked/>
    <w:rsid w:val="00707064"/>
    <w:rPr>
      <w:rFonts w:eastAsia="Times New Roman" w:cs="Times New Roman"/>
      <w:sz w:val="20"/>
      <w:szCs w:val="20"/>
      <w:lang w:eastAsia="en-AU"/>
    </w:rPr>
  </w:style>
  <w:style w:type="character" w:styleId="CommentReference">
    <w:name w:val="annotation reference"/>
    <w:basedOn w:val="DefaultParagraphFont"/>
    <w:uiPriority w:val="99"/>
    <w:semiHidden/>
    <w:rsid w:val="00974A50"/>
    <w:rPr>
      <w:rFonts w:cs="Times New Roman"/>
      <w:sz w:val="16"/>
      <w:szCs w:val="16"/>
    </w:rPr>
  </w:style>
  <w:style w:type="paragraph" w:styleId="CommentText">
    <w:name w:val="annotation text"/>
    <w:basedOn w:val="Normal"/>
    <w:link w:val="CommentTextChar"/>
    <w:uiPriority w:val="99"/>
    <w:semiHidden/>
    <w:rsid w:val="00974A50"/>
    <w:rPr>
      <w:sz w:val="20"/>
    </w:rPr>
  </w:style>
  <w:style w:type="character" w:customStyle="1" w:styleId="CommentTextChar">
    <w:name w:val="Comment Text Char"/>
    <w:basedOn w:val="DefaultParagraphFont"/>
    <w:link w:val="CommentText"/>
    <w:uiPriority w:val="99"/>
    <w:semiHidden/>
    <w:locked/>
    <w:rsid w:val="00974A50"/>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rsid w:val="00974A50"/>
    <w:rPr>
      <w:b/>
      <w:bCs/>
    </w:rPr>
  </w:style>
  <w:style w:type="character" w:customStyle="1" w:styleId="CommentSubjectChar">
    <w:name w:val="Comment Subject Char"/>
    <w:basedOn w:val="CommentTextChar"/>
    <w:link w:val="CommentSubject"/>
    <w:uiPriority w:val="99"/>
    <w:semiHidden/>
    <w:locked/>
    <w:rsid w:val="00974A50"/>
    <w:rPr>
      <w:rFonts w:eastAsia="Times New Roman" w:cs="Times New Roman"/>
      <w:b/>
      <w:bCs/>
      <w:sz w:val="20"/>
      <w:szCs w:val="20"/>
      <w:lang w:eastAsia="en-AU"/>
    </w:rPr>
  </w:style>
  <w:style w:type="paragraph" w:customStyle="1" w:styleId="Default">
    <w:name w:val="Default"/>
    <w:rsid w:val="00E50016"/>
    <w:pPr>
      <w:autoSpaceDE w:val="0"/>
      <w:autoSpaceDN w:val="0"/>
      <w:adjustRightInd w:val="0"/>
    </w:pPr>
    <w:rPr>
      <w:color w:val="000000"/>
      <w:sz w:val="24"/>
      <w:szCs w:val="24"/>
      <w:lang w:eastAsia="en-US"/>
    </w:rPr>
  </w:style>
  <w:style w:type="character" w:customStyle="1" w:styleId="Heading2Char">
    <w:name w:val="Heading 2 Char"/>
    <w:basedOn w:val="DefaultParagraphFont"/>
    <w:link w:val="Heading2"/>
    <w:semiHidden/>
    <w:rsid w:val="008D588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qFormat/>
    <w:locked/>
    <w:rsid w:val="00F715D1"/>
    <w:pPr>
      <w:spacing w:before="480" w:after="240"/>
      <w:jc w:val="center"/>
    </w:pPr>
    <w:rPr>
      <w:rFonts w:ascii="Arial" w:hAnsi="Arial" w:cs="Arial"/>
      <w:b/>
      <w:bCs/>
      <w:color w:val="000080"/>
      <w:sz w:val="36"/>
      <w:szCs w:val="36"/>
    </w:rPr>
  </w:style>
  <w:style w:type="character" w:customStyle="1" w:styleId="TitleChar">
    <w:name w:val="Title Char"/>
    <w:basedOn w:val="DefaultParagraphFont"/>
    <w:link w:val="Title"/>
    <w:rsid w:val="00F715D1"/>
    <w:rPr>
      <w:rFonts w:ascii="Arial" w:eastAsia="Times New Roman" w:hAnsi="Arial" w:cs="Arial"/>
      <w:b/>
      <w:bCs/>
      <w:color w:val="000080"/>
      <w:sz w:val="36"/>
      <w:szCs w:val="36"/>
    </w:rPr>
  </w:style>
  <w:style w:type="paragraph" w:styleId="Subtitle">
    <w:name w:val="Subtitle"/>
    <w:basedOn w:val="Normal"/>
    <w:next w:val="Normal"/>
    <w:link w:val="SubtitleChar"/>
    <w:qFormat/>
    <w:locked/>
    <w:rsid w:val="00F715D1"/>
    <w:pPr>
      <w:spacing w:after="240"/>
      <w:jc w:val="center"/>
    </w:pPr>
    <w:rPr>
      <w:rFonts w:ascii="Arial" w:hAnsi="Arial" w:cs="Arial"/>
      <w:b/>
      <w:bCs/>
      <w:i/>
      <w:color w:val="000080"/>
      <w:sz w:val="28"/>
      <w:szCs w:val="28"/>
    </w:rPr>
  </w:style>
  <w:style w:type="character" w:customStyle="1" w:styleId="SubtitleChar">
    <w:name w:val="Subtitle Char"/>
    <w:basedOn w:val="DefaultParagraphFont"/>
    <w:link w:val="Subtitle"/>
    <w:rsid w:val="00F715D1"/>
    <w:rPr>
      <w:rFonts w:ascii="Arial" w:eastAsia="Times New Roman" w:hAnsi="Arial" w:cs="Arial"/>
      <w:b/>
      <w:bCs/>
      <w:i/>
      <w:color w:val="000080"/>
      <w:sz w:val="28"/>
      <w:szCs w:val="28"/>
    </w:rPr>
  </w:style>
  <w:style w:type="character" w:styleId="FollowedHyperlink">
    <w:name w:val="FollowedHyperlink"/>
    <w:basedOn w:val="DefaultParagraphFont"/>
    <w:uiPriority w:val="99"/>
    <w:semiHidden/>
    <w:unhideWhenUsed/>
    <w:rsid w:val="00F715D1"/>
    <w:rPr>
      <w:color w:val="800080" w:themeColor="followedHyperlink"/>
      <w:u w:val="single"/>
    </w:rPr>
  </w:style>
  <w:style w:type="table" w:styleId="TableGrid">
    <w:name w:val="Table Grid"/>
    <w:basedOn w:val="TableNormal"/>
    <w:locked/>
    <w:rsid w:val="00A63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2F1810"/>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211">
    <w:name w:val="PBAC Table Style211"/>
    <w:basedOn w:val="TableGrid1"/>
    <w:uiPriority w:val="99"/>
    <w:rsid w:val="002F1810"/>
    <w:pPr>
      <w:widowControl w:val="0"/>
      <w:spacing w:before="120"/>
      <w:contextualSpacing/>
      <w:jc w:val="center"/>
    </w:pPr>
    <w:rPr>
      <w:rFonts w:ascii="Arial Narrow" w:hAnsi="Arial Narrow"/>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dobe Devanagari" w:hAnsi="Adobe Devanagari"/>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dobe Devanagari" w:hAnsi="Adobe Devanagari"/>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dobe Devanagari" w:hAnsi="Adobe Devanagari"/>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
    <w:name w:val="Table Grid 1"/>
    <w:basedOn w:val="TableNormal"/>
    <w:uiPriority w:val="99"/>
    <w:semiHidden/>
    <w:unhideWhenUsed/>
    <w:rsid w:val="002F18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59"/>
    <w:rsid w:val="0012086B"/>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er">
    <w:name w:val="Table Footer"/>
    <w:basedOn w:val="Normal"/>
    <w:link w:val="TableFooterChar"/>
    <w:uiPriority w:val="1"/>
    <w:qFormat/>
    <w:rsid w:val="006B0FEE"/>
    <w:pPr>
      <w:widowControl w:val="0"/>
      <w:spacing w:after="240"/>
      <w:contextualSpacing/>
      <w:jc w:val="both"/>
    </w:pPr>
    <w:rPr>
      <w:rFonts w:ascii="Arial Narrow" w:hAnsi="Arial Narrow" w:cs="Arial"/>
      <w:snapToGrid w:val="0"/>
      <w:sz w:val="18"/>
      <w:lang w:eastAsia="en-GB"/>
    </w:rPr>
  </w:style>
  <w:style w:type="character" w:customStyle="1" w:styleId="TableFooterChar">
    <w:name w:val="Table Footer Char"/>
    <w:link w:val="TableFooter"/>
    <w:uiPriority w:val="1"/>
    <w:rsid w:val="006B0FEE"/>
    <w:rPr>
      <w:rFonts w:ascii="Arial Narrow" w:eastAsia="Times New Roman" w:hAnsi="Arial Narrow" w:cs="Arial"/>
      <w:snapToGrid w:val="0"/>
      <w:sz w:val="18"/>
      <w:szCs w:val="20"/>
      <w:lang w:eastAsia="en-GB"/>
    </w:rPr>
  </w:style>
  <w:style w:type="paragraph" w:customStyle="1" w:styleId="PBACESHeading1">
    <w:name w:val="PBAC ES Heading 1"/>
    <w:basedOn w:val="Heading1"/>
    <w:next w:val="ListParagraph"/>
    <w:uiPriority w:val="1"/>
    <w:qFormat/>
    <w:rsid w:val="006B0FEE"/>
    <w:pPr>
      <w:numPr>
        <w:numId w:val="0"/>
      </w:numPr>
      <w:tabs>
        <w:tab w:val="num" w:pos="360"/>
        <w:tab w:val="left" w:pos="1077"/>
      </w:tabs>
      <w:spacing w:after="120"/>
    </w:pPr>
    <w:rPr>
      <w:rFonts w:ascii="Calibri" w:hAnsi="Calibri" w:cs="Arial"/>
      <w:bCs w:val="0"/>
      <w:snapToGrid w:val="0"/>
      <w:sz w:val="32"/>
      <w:szCs w:val="32"/>
      <w:lang w:eastAsia="en-US"/>
    </w:rPr>
  </w:style>
  <w:style w:type="paragraph" w:customStyle="1" w:styleId="PBACESHeading2">
    <w:name w:val="PBAC ES Heading 2"/>
    <w:basedOn w:val="Heading2"/>
    <w:uiPriority w:val="1"/>
    <w:qFormat/>
    <w:rsid w:val="006B0FEE"/>
    <w:pPr>
      <w:tabs>
        <w:tab w:val="num" w:pos="360"/>
      </w:tabs>
      <w:spacing w:before="360" w:after="120"/>
    </w:pPr>
    <w:rPr>
      <w:bCs w:val="0"/>
      <w:i/>
      <w:snapToGrid w:val="0"/>
      <w:color w:val="auto"/>
      <w:sz w:val="28"/>
      <w:szCs w:val="28"/>
      <w:lang w:eastAsia="en-GB"/>
    </w:rPr>
  </w:style>
  <w:style w:type="paragraph" w:customStyle="1" w:styleId="PBACESHeadingCAPS">
    <w:name w:val="PBAC ES Heading CAPS"/>
    <w:basedOn w:val="PBACESHeading2"/>
    <w:uiPriority w:val="1"/>
    <w:qFormat/>
    <w:rsid w:val="006B0FEE"/>
    <w:pPr>
      <w:tabs>
        <w:tab w:val="num" w:pos="1440"/>
      </w:tabs>
    </w:pPr>
    <w:rPr>
      <w:i w:val="0"/>
      <w:smallCaps/>
      <w:sz w:val="32"/>
    </w:rPr>
  </w:style>
  <w:style w:type="paragraph" w:customStyle="1" w:styleId="PBACESHeading3">
    <w:name w:val="PBAC ES Heading 3"/>
    <w:basedOn w:val="PBACESHeading2"/>
    <w:uiPriority w:val="1"/>
    <w:qFormat/>
    <w:rsid w:val="006B0FEE"/>
    <w:pPr>
      <w:tabs>
        <w:tab w:val="num" w:pos="2880"/>
      </w:tabs>
      <w:ind w:left="2880" w:hanging="360"/>
    </w:pPr>
    <w:rPr>
      <w:i w:val="0"/>
      <w:sz w:val="24"/>
    </w:rPr>
  </w:style>
  <w:style w:type="paragraph" w:customStyle="1" w:styleId="MSACHeading1">
    <w:name w:val="MSAC Heading 1"/>
    <w:basedOn w:val="Heading1"/>
    <w:next w:val="Normal"/>
    <w:uiPriority w:val="1"/>
    <w:qFormat/>
    <w:rsid w:val="006B0FEE"/>
    <w:pPr>
      <w:numPr>
        <w:numId w:val="0"/>
      </w:numPr>
      <w:tabs>
        <w:tab w:val="num" w:pos="360"/>
        <w:tab w:val="num" w:pos="4320"/>
      </w:tabs>
      <w:spacing w:before="160" w:line="259" w:lineRule="auto"/>
    </w:pPr>
    <w:rPr>
      <w:rFonts w:eastAsia="SimSun"/>
      <w:bCs w:val="0"/>
      <w:lang w:eastAsia="en-US"/>
    </w:rPr>
  </w:style>
  <w:style w:type="paragraph" w:customStyle="1" w:styleId="MSACESHeading2">
    <w:name w:val="MSAC ES Heading 2"/>
    <w:basedOn w:val="Heading2"/>
    <w:next w:val="Normal"/>
    <w:uiPriority w:val="1"/>
    <w:qFormat/>
    <w:rsid w:val="006B0FEE"/>
    <w:pPr>
      <w:tabs>
        <w:tab w:val="num" w:pos="360"/>
        <w:tab w:val="num" w:pos="5040"/>
      </w:tabs>
      <w:spacing w:before="360" w:after="120"/>
    </w:pPr>
    <w:rPr>
      <w:rFonts w:ascii="Cambria" w:hAnsi="Cambria"/>
      <w:bCs w:val="0"/>
      <w:snapToGrid w:val="0"/>
      <w:color w:val="auto"/>
      <w:sz w:val="24"/>
      <w:szCs w:val="28"/>
      <w:lang w:eastAsia="en-GB"/>
    </w:rPr>
  </w:style>
  <w:style w:type="table" w:customStyle="1" w:styleId="PBACTableStyle21">
    <w:name w:val="PBAC Table Style21"/>
    <w:basedOn w:val="TableGrid1"/>
    <w:uiPriority w:val="99"/>
    <w:rsid w:val="006B0FEE"/>
    <w:pPr>
      <w:widowControl w:val="0"/>
      <w:spacing w:before="120"/>
      <w:contextualSpacing/>
      <w:jc w:val="center"/>
    </w:pPr>
    <w:rPr>
      <w:rFonts w:ascii="Arial Narrow" w:hAnsi="Arial Narrow" w:cs="Arial"/>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dobe Devanagari" w:hAnsi="Adobe Devanagari"/>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dobe Devanagari" w:hAnsi="Adobe Devanagari"/>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dobe Devanagari" w:hAnsi="Adobe Devanagari"/>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character" w:customStyle="1" w:styleId="ListParagraphChar">
    <w:name w:val="List Paragraph Char"/>
    <w:aliases w:val="PBAC ES Paragraph Char,Body Text Bullet Points Char,Numbered para Char,BulletPoints Char,List Paragraph1 Char,Bullet point Char,List Paragraph11 Char,Recommendation Char,Section heading Char,Footnote Char,ES Paragraph Char"/>
    <w:basedOn w:val="DefaultParagraphFont"/>
    <w:link w:val="ListParagraph"/>
    <w:uiPriority w:val="34"/>
    <w:qFormat/>
    <w:locked/>
    <w:rsid w:val="006B0FEE"/>
    <w:rPr>
      <w:rFonts w:eastAsia="Times New Roman"/>
      <w:sz w:val="24"/>
      <w:szCs w:val="20"/>
    </w:rPr>
  </w:style>
  <w:style w:type="table" w:customStyle="1" w:styleId="PBACTableStyle1">
    <w:name w:val="PBAC Table Style1"/>
    <w:basedOn w:val="TableGrid1"/>
    <w:uiPriority w:val="99"/>
    <w:rsid w:val="006B0FEE"/>
    <w:pPr>
      <w:widowControl w:val="0"/>
      <w:spacing w:before="120"/>
      <w:contextualSpacing/>
      <w:jc w:val="center"/>
    </w:pPr>
    <w:rPr>
      <w:rFonts w:ascii="Arial Narrow" w:eastAsiaTheme="minorHAnsi" w:hAnsi="Arial Narrow" w:cstheme="minorBidi"/>
      <w:color w:val="000000"/>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TimesNewRoman" w:hAnsi="TimesNewRoman"/>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TimesNewRoman" w:hAnsi="TimesNewRoman"/>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TimesNewRoman" w:hAnsi="TimesNewRoman"/>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RTIAMCPTable1">
    <w:name w:val="RTI AMCP Table1"/>
    <w:basedOn w:val="TableNormal"/>
    <w:next w:val="TableGrid"/>
    <w:uiPriority w:val="59"/>
    <w:rsid w:val="007B57FB"/>
    <w:rPr>
      <w:rFonts w:ascii="Calibri" w:hAnsi="Calibri" w:cs="Arial"/>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Pr/>
      <w:tcPr>
        <w:shd w:val="clear" w:color="auto" w:fill="F2F2F2"/>
      </w:tcPr>
    </w:tblStylePr>
  </w:style>
  <w:style w:type="paragraph" w:styleId="Caption">
    <w:name w:val="caption"/>
    <w:basedOn w:val="Normal"/>
    <w:next w:val="Normal"/>
    <w:unhideWhenUsed/>
    <w:qFormat/>
    <w:locked/>
    <w:rsid w:val="007B57FB"/>
    <w:pPr>
      <w:spacing w:after="200"/>
    </w:pPr>
    <w:rPr>
      <w:i/>
      <w:iCs/>
      <w:color w:val="1F497D" w:themeColor="text2"/>
      <w:sz w:val="18"/>
      <w:szCs w:val="18"/>
    </w:rPr>
  </w:style>
  <w:style w:type="paragraph" w:customStyle="1" w:styleId="pf0">
    <w:name w:val="pf0"/>
    <w:basedOn w:val="Normal"/>
    <w:rsid w:val="0095117E"/>
    <w:pPr>
      <w:spacing w:before="100" w:beforeAutospacing="1" w:after="100" w:afterAutospacing="1"/>
    </w:pPr>
    <w:rPr>
      <w:szCs w:val="24"/>
    </w:rPr>
  </w:style>
  <w:style w:type="character" w:customStyle="1" w:styleId="cf01">
    <w:name w:val="cf01"/>
    <w:basedOn w:val="DefaultParagraphFont"/>
    <w:rsid w:val="0095117E"/>
    <w:rPr>
      <w:rFonts w:ascii="Segoe UI" w:hAnsi="Segoe UI" w:cs="Segoe UI" w:hint="default"/>
      <w:sz w:val="18"/>
      <w:szCs w:val="18"/>
    </w:rPr>
  </w:style>
  <w:style w:type="character" w:customStyle="1" w:styleId="cf11">
    <w:name w:val="cf11"/>
    <w:basedOn w:val="DefaultParagraphFont"/>
    <w:rsid w:val="0095117E"/>
    <w:rPr>
      <w:rFonts w:ascii="Segoe UI" w:hAnsi="Segoe UI" w:cs="Segoe UI" w:hint="default"/>
      <w:i/>
      <w:iCs/>
      <w:sz w:val="18"/>
      <w:szCs w:val="18"/>
    </w:rPr>
  </w:style>
  <w:style w:type="paragraph" w:styleId="Revision">
    <w:name w:val="Revision"/>
    <w:hidden/>
    <w:uiPriority w:val="99"/>
    <w:semiHidden/>
    <w:rsid w:val="006B6B9E"/>
    <w:rPr>
      <w:rFonts w:eastAsia="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2295391">
      <w:marLeft w:val="0"/>
      <w:marRight w:val="0"/>
      <w:marTop w:val="0"/>
      <w:marBottom w:val="0"/>
      <w:divBdr>
        <w:top w:val="none" w:sz="0" w:space="0" w:color="auto"/>
        <w:left w:val="none" w:sz="0" w:space="0" w:color="auto"/>
        <w:bottom w:val="none" w:sz="0" w:space="0" w:color="auto"/>
        <w:right w:val="none" w:sz="0" w:space="0" w:color="auto"/>
      </w:divBdr>
    </w:div>
    <w:div w:id="204069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sac.gov.au/internet/msac/publishing.nsf/Content/D3E96917F7B2253BCA25801000123C2E/$File/1411.1_EconomicEvaluationReport.pdf" TargetMode="External"/><Relationship Id="rId18" Type="http://schemas.openxmlformats.org/officeDocument/2006/relationships/hyperlink" Target="http://www.msac.gov.au/internet/msac/publishing.nsf/Content/D3E96917F7B2253BCA25801000123C2E/$File/1411.1_EconomicEvaluationReport.pdf" TargetMode="External"/><Relationship Id="rId26" Type="http://schemas.openxmlformats.org/officeDocument/2006/relationships/hyperlink" Target="http://www.msac.gov.au/internet/msac/publishing.nsf/Content/19F02703F69D97C9CA258522001DE2DA/$File/1618%20Ratified%20PICO.pdf" TargetMode="External"/><Relationship Id="rId39" Type="http://schemas.openxmlformats.org/officeDocument/2006/relationships/hyperlink" Target="http://www.msac.gov.au/internet/msac/publishing.nsf/Content/1554-public" TargetMode="External"/><Relationship Id="rId3" Type="http://schemas.openxmlformats.org/officeDocument/2006/relationships/styles" Target="styles.xml"/><Relationship Id="rId21" Type="http://schemas.openxmlformats.org/officeDocument/2006/relationships/hyperlink" Target="http://www.msac.gov.au/internet/msac/publishing.nsf/Content/D3E96917F7B2253BCA25801000123C2E/$File/1411.1_EconomicEvaluationReport.pdf" TargetMode="External"/><Relationship Id="rId34" Type="http://schemas.openxmlformats.org/officeDocument/2006/relationships/hyperlink" Target="http://www.msac.gov.au/internet/msac/publishing.nsf/Content/19F02703F69D97C9CA258522001DE2DA/$File/1618%20Ratified%20PICO.pdf" TargetMode="External"/><Relationship Id="rId42" Type="http://schemas.openxmlformats.org/officeDocument/2006/relationships/hyperlink" Target="http://www.msac.gov.au/internet/msac/publishing.nsf/Content/0BD63667C984FEEACA25801000123AD8/$File/InvestigativeTechnicalGuidelines-December-2016-Version-3.0.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sac.gov.au/internet/msac/publishing.nsf/Content/D3E96917F7B2253BCA25801000123C2E/$File/PSD_1411.1.pdf" TargetMode="External"/><Relationship Id="rId17" Type="http://schemas.openxmlformats.org/officeDocument/2006/relationships/hyperlink" Target="http://www.msac.gov.au/internet/msac/publishing.nsf/Content/D3E96917F7B2253BCA25801000123C2E/$File/1411.1_EconomicEvaluationReport.pdf" TargetMode="External"/><Relationship Id="rId25" Type="http://schemas.openxmlformats.org/officeDocument/2006/relationships/hyperlink" Target="http://www.msac.gov.au/internet/msac/publishing.nsf/Content/D3E96917F7B2253BCA25801000123C2E/$File/1411.1_EconomicEvaluationReport.pdf" TargetMode="External"/><Relationship Id="rId33" Type="http://schemas.openxmlformats.org/officeDocument/2006/relationships/image" Target="media/image5.jpeg"/><Relationship Id="rId38" Type="http://schemas.openxmlformats.org/officeDocument/2006/relationships/hyperlink" Target="http://www.msac.gov.au/internet/msac/publishing.nsf/Content/1380-public"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sac.gov.au/internet/msac/publishing.nsf/Content/D3E96917F7B2253BCA25801000123C2E/$File/1411.1_EconomicEvaluationReport.pdf" TargetMode="External"/><Relationship Id="rId20" Type="http://schemas.openxmlformats.org/officeDocument/2006/relationships/image" Target="media/image2.png"/><Relationship Id="rId29" Type="http://schemas.openxmlformats.org/officeDocument/2006/relationships/hyperlink" Target="http://www.msac.gov.au/internet/msac/publishing.nsf/Content/19F02703F69D97C9CA258522001DE2DA/$File/1618%20Ratified%20PICO.pdf" TargetMode="External"/><Relationship Id="rId41" Type="http://schemas.openxmlformats.org/officeDocument/2006/relationships/hyperlink" Target="http://www.msac.gov.au/internet/msac/publishing.nsf/Content/D3E96917F7B2253BCA25801000123C2E/$File/PSD_141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ac.gov.au/internet/msac/publishing.nsf/Content/1411.1-public" TargetMode="External"/><Relationship Id="rId24" Type="http://schemas.openxmlformats.org/officeDocument/2006/relationships/hyperlink" Target="http://www.msac.gov.au/internet/msac/publishing.nsf/Content/D3E96917F7B2253BCA25801000123C2E/$File/PSD_1411.1.pdf" TargetMode="External"/><Relationship Id="rId32" Type="http://schemas.openxmlformats.org/officeDocument/2006/relationships/image" Target="media/image4.jpg"/><Relationship Id="rId37" Type="http://schemas.openxmlformats.org/officeDocument/2006/relationships/hyperlink" Target="http://www.msac.gov.au/internet/msac/publishing.nsf/Content/19F02703F69D97C9CA258522001DE2DA/$File/1618%20Ratified%20PICO.pdf" TargetMode="External"/><Relationship Id="rId40" Type="http://schemas.openxmlformats.org/officeDocument/2006/relationships/hyperlink" Target="http://www.msac.gov.au/internet/msac/publishing.nsf/Content/D3E96917F7B2253BCA25801000123C2E/$File/PSD_1411.1.pdf" TargetMode="External"/><Relationship Id="rId45" Type="http://schemas.openxmlformats.org/officeDocument/2006/relationships/hyperlink" Target="http://www.msac.gov.au/" TargetMode="External"/><Relationship Id="rId5" Type="http://schemas.openxmlformats.org/officeDocument/2006/relationships/webSettings" Target="webSettings.xml"/><Relationship Id="rId15" Type="http://schemas.openxmlformats.org/officeDocument/2006/relationships/hyperlink" Target="http://www.msac.gov.au/internet/msac/publishing.nsf/Content/D3E96917F7B2253BCA25801000123C2E/$File/1411.1_EconomicEvaluationReport.pdf" TargetMode="External"/><Relationship Id="rId23" Type="http://schemas.openxmlformats.org/officeDocument/2006/relationships/hyperlink" Target="http://www.msac.gov.au/internet/msac/publishing.nsf/Content/D3E96917F7B2253BCA25801000123C2E/$File/PSD_1411.1.pdf" TargetMode="External"/><Relationship Id="rId28" Type="http://schemas.openxmlformats.org/officeDocument/2006/relationships/hyperlink" Target="http://www.msac.gov.au/internet/msac/publishing.nsf/Content/C9C1B5F58153AEBACA25831A00831E86/$File/1554%20-%20Final%20PSD_redacted.pdf" TargetMode="External"/><Relationship Id="rId36" Type="http://schemas.openxmlformats.org/officeDocument/2006/relationships/hyperlink" Target="http://www.msac.gov.au/internet/msac/publishing.nsf/Content/19F02703F69D97C9CA258522001DE2DA/$File/1618%20Ratified%20PICO.pdf" TargetMode="External"/><Relationship Id="rId10" Type="http://schemas.openxmlformats.org/officeDocument/2006/relationships/hyperlink" Target="http://www.msac.gov.au/internet/msac/publishing.nsf/Content/C9C1B5F58153AEBACA25831A00831E86/$File/1554%20-%20Final%20PSD_redacted.pdf" TargetMode="External"/><Relationship Id="rId19" Type="http://schemas.openxmlformats.org/officeDocument/2006/relationships/hyperlink" Target="http://www.msac.gov.au/internet/msac/publishing.nsf/Content/D3E96917F7B2253BCA25801000123C2E/$File/PSD_1411.1.pdf" TargetMode="External"/><Relationship Id="rId31" Type="http://schemas.openxmlformats.org/officeDocument/2006/relationships/image" Target="media/image3.jpg"/><Relationship Id="rId44" Type="http://schemas.openxmlformats.org/officeDocument/2006/relationships/hyperlink" Target="http://www.msac.gov.au/internet/msac/publishing.nsf/Content/D3E96917F7B2253BCA25801000123C2E/$File/PSD_1411.1.pdf" TargetMode="External"/><Relationship Id="rId4" Type="http://schemas.openxmlformats.org/officeDocument/2006/relationships/settings" Target="settings.xml"/><Relationship Id="rId9" Type="http://schemas.openxmlformats.org/officeDocument/2006/relationships/hyperlink" Target="http://www.msac.gov.au/" TargetMode="External"/><Relationship Id="rId14" Type="http://schemas.openxmlformats.org/officeDocument/2006/relationships/hyperlink" Target="http://www.msac.gov.au/internet/msac/publishing.nsf/Content/D3E96917F7B2253BCA25801000123C2E/$File/1411.1_EconomicEvaluationReport.pdf" TargetMode="External"/><Relationship Id="rId22" Type="http://schemas.openxmlformats.org/officeDocument/2006/relationships/hyperlink" Target="http://www.msac.gov.au/internet/msac/publishing.nsf/Content/D3E96917F7B2253BCA25801000123C2E/$File/PSD_1411.1.pdf" TargetMode="External"/><Relationship Id="rId27" Type="http://schemas.openxmlformats.org/officeDocument/2006/relationships/hyperlink" Target="http://www.msac.gov.au/internet/msac/publishing.nsf/Content/19F02703F69D97C9CA258522001DE2DA/$File/1618%20Ratified%20PICO.pdf" TargetMode="External"/><Relationship Id="rId30" Type="http://schemas.openxmlformats.org/officeDocument/2006/relationships/hyperlink" Target="http://www.msac.gov.au/internet/msac/publishing.nsf/Content/19F02703F69D97C9CA258522001DE2DA/$File/1618%20Ratified%20PICO.pdf" TargetMode="External"/><Relationship Id="rId35" Type="http://schemas.openxmlformats.org/officeDocument/2006/relationships/hyperlink" Target="http://www.msac.gov.au/internet/msac/publishing.nsf/Content/19F02703F69D97C9CA258522001DE2DA/$File/1618%20Ratified%20PICO.pdf" TargetMode="External"/><Relationship Id="rId43" Type="http://schemas.openxmlformats.org/officeDocument/2006/relationships/hyperlink" Target="http://www.msac.gov.au/internet/msac/publishing.nsf/Content/0BD63667C984FEEACA25801000123AD8/$File/CUC-proforma-assessment-genetic-testing.pdf"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qiagen.com/au/products/discovery-and-translational-research/next-generation-sequencing/dna-sequencing/somatic-panels/qiaseq-targeted-dna-extended-pan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22A04-80A2-4E78-9470-FA9CAA213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13877</Words>
  <Characters>82671</Characters>
  <Application>Microsoft Office Word</Application>
  <DocSecurity>0</DocSecurity>
  <Lines>688</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2021-07-27T00:58:00Z</dcterms:created>
  <dcterms:modified xsi:type="dcterms:W3CDTF">2021-07-27T01:05:00Z</dcterms:modified>
</cp:coreProperties>
</file>